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3868d1_6k.htm"/>
      <w:bookmarkStart w:id="1" w:name="kstm2623868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announcements dated August 24, 2026 with The Stock Exchange of Hong Kong Limited in relation to the financial results for the quarter ended June 30, 2026, and our interim results for the six months ended June 30, 2026. For details, please refer to the exhibits to this current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995"/>
        <w:gridCol w:w="60"/>
        <w:gridCol w:w="7400"/>
      </w:tblGrid>
      <w:tr>
        <w:trPr/>
        <w:tc>
          <w:tcPr>
            <w:tcW w:w="9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pPr>
            <w:hyperlink w:anchor="tm262386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hyperlink w:anchor="tm2623868d1_ex99-1.htm">
              <w:r>
                <w:rPr>
                  <w:rStyle w:val="InternetLink"/>
                  <w:rFonts w:ascii="Times New Roman;Times;Serif" w:hAnsi="Times New Roman;Times;Serif"/>
                  <w:sz w:val="20"/>
                </w:rPr>
                <w:t>Announcement —</w:t>
              </w:r>
            </w:hyperlink>
            <w:hyperlink w:anchor="tm2623868d1_ex99-1.htm">
              <w:r>
                <w:rPr>
                  <w:rStyle w:val="InternetLink"/>
                  <w:sz w:val="20"/>
                </w:rPr>
                <w:t xml:space="preserve"> Unaudited Financial Results for the Quarter Ended June 30, 2026</w:t>
              </w:r>
            </w:hyperlink>
          </w:p>
        </w:tc>
      </w:tr>
      <w:tr>
        <w:trPr/>
        <w:tc>
          <w:tcPr>
            <w:tcW w:w="995" w:type="dxa"/>
            <w:tcBorders/>
            <w:vAlign w:val="center"/>
          </w:tcPr>
          <w:p>
            <w:pPr>
              <w:pStyle w:val="TableContents"/>
              <w:bidi w:val="0"/>
              <w:spacing w:before="0" w:after="283"/>
              <w:jc w:val="left"/>
              <w:rPr/>
            </w:pPr>
            <w:hyperlink w:anchor="tm2623868d1_ex99-2.htm">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283"/>
              <w:jc w:val="left"/>
              <w:rPr/>
            </w:pPr>
            <w:hyperlink w:anchor="tm2623868d1_ex99-2.htm">
              <w:r>
                <w:rPr>
                  <w:rStyle w:val="InternetLink"/>
                  <w:rFonts w:ascii="Times New Roman;Times;Serif" w:hAnsi="Times New Roman;Times;Serif"/>
                  <w:sz w:val="20"/>
                </w:rPr>
                <w:t>Announcement —</w:t>
              </w:r>
            </w:hyperlink>
            <w:hyperlink w:anchor="tm2623868d1_ex99-2.htm">
              <w:r>
                <w:rPr>
                  <w:rStyle w:val="InternetLink"/>
                  <w:sz w:val="20"/>
                </w:rPr>
                <w:t xml:space="preserve"> Interim Results Announcement for the Six Months Ended June 30,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ind w:left="0" w:right="0" w:hanging="200"/>
              <w:jc w:val="left"/>
              <w:rPr/>
            </w:pPr>
            <w:r>
              <w:rPr/>
              <w:t> </w:t>
            </w:r>
          </w:p>
        </w:tc>
        <w:tc>
          <w:tcPr>
            <w:tcW w:w="2485" w:type="dxa"/>
            <w:gridSpan w:val="2"/>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895"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ind w:left="0" w:right="0" w:hanging="200"/>
              <w:jc w:val="left"/>
              <w:rPr>
                <w:rFonts w:ascii="Times New Roman;Times;Serif" w:hAnsi="Times New Roman;Times;Serif"/>
                <w:sz w:val="20"/>
                <w:shd w:fill="FFFFFF" w:val="clear"/>
              </w:rPr>
            </w:pPr>
            <w:r>
              <w:rPr>
                <w:rFonts w:ascii="Times New Roman;Times;Serif" w:hAnsi="Times New Roman;Times;Serif"/>
                <w:sz w:val="20"/>
                <w:shd w:fill="FFFFFF" w:val="clear"/>
              </w:rPr>
              <w:t>Yi (Alex) Yang</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3868d1_ex99-1.htm"/>
      <w:bookmarkStart w:id="3" w:name="kstm262386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488950" cy="269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8950" cy="269875"/>
                    </a:xfrm>
                    <a:prstGeom prst="rect">
                      <a:avLst/>
                    </a:prstGeom>
                  </pic:spPr>
                </pic:pic>
              </a:graphicData>
            </a:graphic>
          </wp:inline>
        </w:drawing>
      </w:r>
      <w:r>
        <w:rPr/>
        <w:t> </w:t>
      </w:r>
    </w:p>
    <w:p>
      <w:pPr>
        <w:pStyle w:val="TextBody"/>
        <w:bidi w:val="0"/>
        <w:spacing w:before="0" w:after="0"/>
        <w:ind w:left="213" w:right="205"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ind w:left="213" w:right="213" w:hanging="0"/>
        <w:jc w:val="center"/>
        <w:rPr>
          <w:caps w:val="false"/>
          <w:smallCaps w:val="false"/>
        </w:rPr>
      </w:pPr>
      <w:r>
        <w:rPr>
          <w:rFonts w:eastAsia="Times New Roman;Times;Serif"/>
          <w:b/>
          <w:i w:val="false"/>
          <w:caps w:val="false"/>
          <w:smallCaps w:val="false"/>
          <w:sz w:val="28"/>
        </w:rPr>
        <w:t>塗鴉智能</w:t>
      </w:r>
      <w:r>
        <w:rPr>
          <w:rFonts w:ascii="Times New Roman;Times;Serif" w:hAnsi="Times New Roman;Times;Serif"/>
          <w:b/>
          <w:i w:val="false"/>
          <w:caps w:val="false"/>
          <w:smallCaps w:val="false"/>
          <w:sz w:val="28"/>
        </w:rPr>
        <w:t>*</w:t>
      </w:r>
    </w:p>
    <w:p>
      <w:pPr>
        <w:pStyle w:val="TextBody"/>
        <w:bidi w:val="0"/>
        <w:spacing w:before="0" w:after="0"/>
        <w:ind w:left="213" w:right="246"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2391)</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(NYSE Stock Ticker: TUYA)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3" w:right="20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 INFORMATION</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RESULTS</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bdr w:val="single" w:sz="8" w:space="10" w:color="000000"/>
        </w:rPr>
      </w:pPr>
      <w:r>
        <w:rPr>
          <w:rFonts w:ascii="Times New Roman;Times;Serif" w:hAnsi="Times New Roman;Times;Serif"/>
          <w:b w:val="false"/>
          <w:i w:val="false"/>
          <w:caps w:val="false"/>
          <w:smallCaps w:val="false"/>
          <w:sz w:val="20"/>
          <w:bdr w:val="single" w:sz="8" w:space="10" w:color="000000"/>
        </w:rPr>
        <w:t>This announcement is issued pursuant to Rule 13.09 of the Rules Governing the Listing of the Securities on The Stock Exchange of Hong Kong Limited and under Part XIVA of the Securities and Futures Ordinance (Cap. 571 of the Laws of Hong Kong).</w:t>
      </w:r>
    </w:p>
    <w:p>
      <w:pPr>
        <w:pStyle w:val="TextBody"/>
        <w:bidi w:val="0"/>
        <w:spacing w:before="0" w:after="0"/>
        <w:ind w:left="108" w:right="99" w:hanging="0"/>
        <w:jc w:val="both"/>
        <w:rPr>
          <w:caps w:val="false"/>
          <w:smallCaps w:val="false"/>
          <w:bdr w:val="single" w:sz="8" w:space="10" w:color="000000"/>
        </w:rPr>
      </w:pPr>
      <w:r>
        <w:rPr>
          <w:caps w:val="false"/>
          <w:smallCaps w:val="false"/>
          <w:bdr w:val="single" w:sz="8" w:space="10"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10" w:color="000000"/>
        </w:rPr>
      </w:pPr>
      <w:r>
        <w:rPr>
          <w:rFonts w:ascii="Times New Roman;Times;Serif" w:hAnsi="Times New Roman;Times;Serif"/>
          <w:b w:val="false"/>
          <w:i w:val="false"/>
          <w:caps w:val="false"/>
          <w:smallCaps w:val="false"/>
          <w:sz w:val="20"/>
          <w:bdr w:val="single" w:sz="8" w:space="10" w:color="000000"/>
        </w:rPr>
        <w:t>Tuya Inc. (“</w:t>
      </w:r>
      <w:r>
        <w:rPr>
          <w:rFonts w:ascii="Times New Roman;Times;Serif" w:hAnsi="Times New Roman;Times;Serif"/>
          <w:b/>
          <w:i w:val="false"/>
          <w:caps w:val="false"/>
          <w:smallCaps w:val="false"/>
          <w:sz w:val="20"/>
          <w:bdr w:val="single" w:sz="8" w:space="10" w:color="000000"/>
        </w:rPr>
        <w:t>Tuya</w:t>
      </w:r>
      <w:r>
        <w:rPr>
          <w:rFonts w:ascii="Times New Roman;Times;Serif" w:hAnsi="Times New Roman;Times;Serif"/>
          <w:b w:val="false"/>
          <w:i w:val="false"/>
          <w:caps w:val="false"/>
          <w:smallCaps w:val="false"/>
          <w:sz w:val="20"/>
          <w:bdr w:val="single" w:sz="8" w:space="10" w:color="000000"/>
        </w:rPr>
        <w:t>” or the “</w:t>
      </w:r>
      <w:r>
        <w:rPr>
          <w:rFonts w:ascii="Times New Roman;Times;Serif" w:hAnsi="Times New Roman;Times;Serif"/>
          <w:b/>
          <w:i w:val="false"/>
          <w:caps w:val="false"/>
          <w:smallCaps w:val="false"/>
          <w:sz w:val="20"/>
          <w:bdr w:val="single" w:sz="8" w:space="10" w:color="000000"/>
        </w:rPr>
        <w:t>Company</w:t>
      </w:r>
      <w:r>
        <w:rPr>
          <w:rFonts w:ascii="Times New Roman;Times;Serif" w:hAnsi="Times New Roman;Times;Serif"/>
          <w:b w:val="false"/>
          <w:i w:val="false"/>
          <w:caps w:val="false"/>
          <w:smallCaps w:val="false"/>
          <w:sz w:val="20"/>
          <w:bdr w:val="single" w:sz="8" w:space="10" w:color="000000"/>
        </w:rPr>
        <w:t>”) is pleased to announce the unaudited condensed consolidated results of the Company and its subsidiaries and consolidated affiliated entities (the “</w:t>
      </w:r>
      <w:r>
        <w:rPr>
          <w:rFonts w:ascii="Times New Roman;Times;Serif" w:hAnsi="Times New Roman;Times;Serif"/>
          <w:b/>
          <w:i w:val="false"/>
          <w:caps w:val="false"/>
          <w:smallCaps w:val="false"/>
          <w:sz w:val="20"/>
          <w:bdr w:val="single" w:sz="8" w:space="10" w:color="000000"/>
        </w:rPr>
        <w:t>Group</w:t>
      </w:r>
      <w:r>
        <w:rPr>
          <w:rFonts w:ascii="Times New Roman;Times;Serif" w:hAnsi="Times New Roman;Times;Serif"/>
          <w:b w:val="false"/>
          <w:i w:val="false"/>
          <w:caps w:val="false"/>
          <w:smallCaps w:val="false"/>
          <w:sz w:val="20"/>
          <w:bdr w:val="single" w:sz="8" w:space="10" w:color="000000"/>
        </w:rPr>
        <w:t>”) for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pleased to announce the unaudited condensed consolidated results of the Group for the three months ended June 30, 2026 (the “</w:t>
      </w:r>
      <w:r>
        <w:rPr>
          <w:rFonts w:ascii="Times New Roman;Times;Serif" w:hAnsi="Times New Roman;Times;Serif"/>
          <w:b/>
          <w:i w:val="false"/>
          <w:caps w:val="false"/>
          <w:smallCaps w:val="false"/>
          <w:sz w:val="20"/>
        </w:rPr>
        <w:t>Q2 Results</w:t>
      </w:r>
      <w:r>
        <w:rPr>
          <w:rFonts w:ascii="Times New Roman;Times;Serif" w:hAnsi="Times New Roman;Times;Serif"/>
          <w:b w:val="false"/>
          <w:i w:val="false"/>
          <w:caps w:val="false"/>
          <w:smallCaps w:val="false"/>
          <w:sz w:val="20"/>
        </w:rPr>
        <w:t>”) published in accordance with applicable rules of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Q2 Results have been prepared in accordance with generally accepted accounting principles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which are different from the International Financial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Schedule I is the full text of the press release issued by the Company on August 24, 2026 (U.S. Eastern Time) in relation to the Q2 Results, some of which may constitute material inside information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For identification purposes only</w:t>
      </w:r>
    </w:p>
    <w:p>
      <w:pPr>
        <w:pStyle w:val="TextBody"/>
        <w:bidi w:val="0"/>
        <w:spacing w:before="0" w:after="0"/>
        <w:ind w:left="141" w:right="133" w:hanging="0"/>
        <w:jc w:val="both"/>
        <w:rPr>
          <w:caps w:val="false"/>
          <w:smallCaps w:val="false"/>
        </w:rPr>
      </w:pPr>
      <w:r>
        <w:rPr>
          <w:caps w:val="false"/>
          <w:smallCaps w:val="false"/>
        </w:rPr>
        <w:t> </w:t>
      </w:r>
    </w:p>
    <w:p>
      <w:pPr>
        <w:pStyle w:val="TextBody"/>
        <w:bidi w:val="0"/>
        <w:spacing w:before="0" w:after="0"/>
        <w:ind w:left="141" w:right="133"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141" w:right="133"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The forward-looking statements included in this announcement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and potential investors are advised not to place undue reliance on the Q2 Results and to exercise caution in dealing in securities in the Company.</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WANG Xueji</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w:t>
            </w:r>
          </w:p>
        </w:tc>
      </w:tr>
    </w:tbl>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Mr. WANG Xueji, Mr. CHEN Liaohan, Mr. YANG Yi and Ms. ZHANG Yan as executive Directors, and Mr. HUANG Sidney Xuande, Mr. QIU Changheng, Mr. KUOK Meng Xiong (alias GUO Mengxiong) and Mr. YIP Pak Tung Jason as independent non-executive Directors.</w:t>
      </w:r>
    </w:p>
    <w:p>
      <w:pPr>
        <w:pStyle w:val="TextBody"/>
        <w:bidi w:val="0"/>
        <w:spacing w:before="0" w:after="0"/>
        <w:ind w:left="213" w:right="213" w:hanging="0"/>
        <w:jc w:val="center"/>
        <w:rPr>
          <w:caps w:val="false"/>
          <w:smallCaps w:val="false"/>
        </w:rPr>
      </w:pPr>
      <w:r>
        <w:rPr>
          <w:caps w:val="false"/>
          <w:smallCaps w:val="false"/>
        </w:rPr>
        <w:t> </w:t>
      </w:r>
    </w:p>
    <w:p>
      <w:pPr>
        <w:pStyle w:val="TextBody"/>
        <w:bidi w:val="0"/>
        <w:spacing w:before="0" w:after="0"/>
        <w:ind w:left="213" w:right="213"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213" w:right="213" w:hanging="0"/>
        <w:jc w:val="center"/>
        <w:rPr>
          <w:caps w:val="false"/>
          <w:smallCaps w:val="false"/>
        </w:rPr>
      </w:pPr>
      <w:r>
        <w:rPr>
          <w:caps w:val="false"/>
          <w:smallCaps w:val="false"/>
        </w:rPr>
        <w:t> </w:t>
      </w:r>
    </w:p>
    <w:p>
      <w:pPr>
        <w:pStyle w:val="TextBody"/>
        <w:bidi w:val="0"/>
        <w:spacing w:before="0" w:after="0"/>
        <w:ind w:left="213" w:right="21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Reports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rFonts w:ascii="Times New Roman;Times;Serif" w:hAnsi="Times New Roman;Times;Serif"/>
          <w:b w:val="false"/>
          <w:i w:val="false"/>
          <w:caps w:val="false"/>
          <w:smallCaps w:val="false"/>
          <w:sz w:val="20"/>
        </w:rPr>
        <w:t>SANTA CLARA, Calif., August 24, 2026/PRNewswire/</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Tuya Inc. (“</w:t>
      </w:r>
      <w:r>
        <w:rPr>
          <w:rFonts w:ascii="Times New Roman;Times;Serif" w:hAnsi="Times New Roman;Times;Serif"/>
          <w:b/>
          <w:i w:val="false"/>
          <w:caps w:val="false"/>
          <w:smallCaps w:val="false"/>
          <w:sz w:val="20"/>
        </w:rPr>
        <w:t>Tuya</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(NYSE: TUYA; HKEX: 2391), a global leading AI cloud platform service provider, today announced its unaudited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Total revenue</w:t>
            </w:r>
            <w:r>
              <w:rPr/>
              <w:t xml:space="preserve"> was US$92.9 million, up approximately 16.0% year-over-year (2Q2025: US$80.1 million).</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both"/>
              <w:rPr/>
            </w:pPr>
            <w:r>
              <w:rPr/>
              <w:t> </w:t>
            </w:r>
          </w:p>
        </w:tc>
      </w:tr>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Platform-as-a-service (“PaaS”) revenue</w:t>
            </w:r>
            <w:r>
              <w:rPr/>
              <w:t xml:space="preserve"> was US$67.9 million, up approximately 16.9% year-over-year (2Q2025: US$58.1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AI application &amp; others revenue</w:t>
            </w:r>
            <w:r>
              <w:rPr/>
              <w:t xml:space="preserve"> was US$11.5 million, up approximately 3.9% year-over-year (2Q2025: US$11.1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Smart home &amp; robot product revenue</w:t>
            </w:r>
            <w:r>
              <w:rPr/>
              <w:t xml:space="preserve"> was US$13.5 million, up approximately 23.2% year-over-year (2Q2025: US$10.9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Overall gross margin</w:t>
            </w:r>
            <w:r>
              <w:rPr/>
              <w:t xml:space="preserve"> was 46.3%, down 2.1 percentage points year-over-year (2Q2025: 48.4%). Gross margin of PaaS was 46.8% (2Q2025: 48.7%).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Operating margin</w:t>
            </w:r>
            <w:r>
              <w:rPr/>
              <w:t xml:space="preserve"> was 10.0%, up 8.6 percentage points year-over-year (2Q2025: 1.4%). </w:t>
            </w:r>
            <w:r>
              <w:rPr>
                <w:b/>
              </w:rPr>
              <w:t>Non-GAAP operating margin</w:t>
            </w:r>
            <w:r>
              <w:rPr/>
              <w:t xml:space="preserve"> was 10.3% (2Q2025: 10.7%).</w:t>
            </w:r>
          </w:p>
        </w:tc>
      </w:tr>
    </w:tbl>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left"/>
              <w:rPr/>
            </w:pPr>
            <w:r>
              <w:rPr>
                <w:b/>
              </w:rPr>
              <w:t>Net margin</w:t>
            </w:r>
            <w:r>
              <w:rPr/>
              <w:t xml:space="preserve"> was 20.1%, improved by 4.4 percentage points year-over-year (2Q2025: 15.7%). </w:t>
            </w:r>
            <w:r>
              <w:rPr>
                <w:rFonts w:ascii="Times New Roman;Times;Serif" w:hAnsi="Times New Roman;Times;Serif"/>
                <w:b/>
              </w:rPr>
              <w:t>Non-GAAP net margin</w:t>
            </w:r>
            <w:r>
              <w:rPr/>
              <w:t xml:space="preserve"> was 20.4% (2Q2025: 25.1%).</w:t>
            </w:r>
          </w:p>
        </w:tc>
      </w:tr>
    </w:tbl>
    <w:p>
      <w:pPr>
        <w:pStyle w:val="TextBody"/>
        <w:bidi w:val="0"/>
        <w:spacing w:before="0" w:after="0"/>
        <w:ind w:left="709"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 xml:space="preserve">Net profits </w:t>
            </w:r>
            <w:r>
              <w:rPr/>
              <w:t xml:space="preserve">were US$18.6 million (2Q2025: US$12.6 million). </w:t>
            </w:r>
            <w:r>
              <w:rPr>
                <w:b/>
              </w:rPr>
              <w:t xml:space="preserve">Non-GAAP net profits </w:t>
            </w:r>
            <w:r>
              <w:rPr/>
              <w:t>were US$18.9 million (2Q2025: US$20.1 million).</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9185" w:type="dxa"/>
            <w:tcBorders/>
            <w:vAlign w:val="center"/>
          </w:tcPr>
          <w:p>
            <w:pPr>
              <w:pStyle w:val="TableContents"/>
              <w:bidi w:val="0"/>
              <w:spacing w:before="0" w:after="283"/>
              <w:jc w:val="both"/>
              <w:rPr/>
            </w:pPr>
            <w:r>
              <w:rPr>
                <w:b/>
              </w:rPr>
              <w:t>Net cash generated from operating activities</w:t>
            </w:r>
            <w:r>
              <w:rPr/>
              <w:t xml:space="preserve"> was US$6.2 million (2Q2025: US$18.2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 xml:space="preserve">Total cash and cash equivalents, time deposits and treasury securities recorded as short-term and long-term investments </w:t>
            </w:r>
            <w:r>
              <w:rPr/>
              <w:t>were US$976.1 million as of June 30, 2026, compared to US$1,017.3 million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on the non-GAAP financial measures presented above, see the section headed “Use of Non-GAAP Financial Measures.”</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Operating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Premium PaaS customers</w:t>
            </w:r>
            <w:r>
              <w:rPr/>
              <w:t>1 for the trailing 12 months ended June 30, 2026 were 318 (2Q2025: 285). In the second quarter of 2026, the Company’s premium PaaS customers contributed approximately 89.5% of its PaaS revenue (2Q2025: approximately 88.6%).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b/>
              </w:rPr>
              <w:t xml:space="preserve">Registered AI developers </w:t>
            </w:r>
            <w:r>
              <w:rPr/>
              <w:t xml:space="preserve">were over </w:t>
            </w:r>
            <w:r>
              <w:rPr>
                <w:b/>
              </w:rPr>
              <w:t xml:space="preserve">2,092,000 </w:t>
            </w:r>
            <w:r>
              <w:rPr/>
              <w:t>as of June 30, 2026, up 16.2% from approximately 1,801,000 developers as of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Company defines a premium PaaS customer as a customer as of a given date that contributed more than US$100,000 of PaaS revenue during the immediately preceding 12-month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Xueji (Jerry) Wang, Founder and Chief Executive Officer of Tuya, commented, “In the second quarter, despite a complex global operating environment, the Company continued to demonstrate solid growth momentum. Total revenue increased by 16.0% year over year to US$92.9 million, with PaaS revenue increasing by 16.9% and remaining the Company’s primary growth driver. This performance reflected resilient demand across selected home appliance categories and increasing adoption of differentiated, AI-enabled products and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Strategically, we continued to advance the productization and real-world deployment of AI. Shipments of our AI-powered companion product solutions continued to expand, while the launch of Tuya Cobuilder further lowered the barriers to AI hardware development by helping developers move more efficiently from product concept to physical-device deployment. Looking ahead, we will remain focused on AI-native application innovation, AI developer platform development and the global expansion of validated solutions.”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Yi (Alex) Yang, Director and Chief Financial Officer of Tuya, added, “In the second quarter, total revenue reached US$92.9 million, up 16.0% year over year. PaaS revenue was US$67.9 million, up 16.9%, while Smart home &amp; robot product revenue increased by 23.2% to US$13.5 million and AI application &amp; others revenue increased by 3.9% to US$11.5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pressure from product and solution mix and semiconductor supply-chain pricing, gross profit increased by 11.1% year over year to US$43.0 million. Non-GAAP profit from operations increased by 11.7% to US$9.6 million, with non-GAAP operating margin remaining in double digits at 10.3%. We ended the quarter with approximately US$976.1 million in cash and cash equivalents, time deposits and treasury securities, providing continued flexibility to support our AI capabilities, global expansion and long-term strategic investments.”</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Unaudited Financial Results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 the second quarter of 2026 increased by 16.0% to US$92.9 million from US$80.1 million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PaaS revenue in the second quarter of 2026 increased by 16.9% to US$67.9 million from US$58.1 million in the same period of 2025, primarily due to increasing demand compared with the same period of 2025 and the Company’s strategic focus on customer needs and product enhancements, despite the disruptions in the international business environment due to tariff-related headwinds since April 2025. Our core customer base remained stable.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AI application &amp; others revenue in the second quarter of 2026 increased by 3.9% to US$11.5 million from US$11.1 million in the same period of 2025, primarily due to an increase in revenue from cloud-based services. During the quarter, the Company remained committed to offering recurring value-added services with AI application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Smart home &amp; robot product revenue in the second quarter of 2026 increased by 23.2% to US$13.5 million from US$10.9 million in the same period of 2025, primarily due to growing customer demands.</w:t>
            </w:r>
          </w:p>
        </w:tc>
      </w:tr>
    </w:tbl>
    <w:p>
      <w:pPr>
        <w:pStyle w:val="TextBody"/>
        <w:bidi w:val="0"/>
        <w:spacing w:before="0" w:after="0"/>
        <w:ind w:left="117"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117"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 in the second quarter of 2026 increased by 11.1% to US$43.0 million from US$38.7 million in the same period of 2025. The gross margin in the second quarter of 2026 was 46.3%, compared to 48.4%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PaaS gross margin in the second quarter of 2026 was 46.8%, compared to 48.7% in the same period of 2025, partly attributable to recent price fluctuations in the semiconductor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AI application &amp; others gross margin in the second quarter of 2026 was 72.0%, compared to 72.0%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Smart home &amp; robot product gross margin in the second quarter of 2026 was 21.9%, compared to 22.5% in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fluctuated primarily due to changes in product and solution mix, as well as fluctuations in semiconductor supply-chain pricing. As an AI developer platform with a rich ecosystem of smart devices and applications, the Company remains focused on AI offering with compelling value propositions while maintaining economic efficiency.</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ind w:left="117"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decreased by 10.4% to US$33.7 million in the second quarter of 2026 from US$37.7 million in the same period of 2025. Non-GAAP operating expenses increased by 10.9% to US$33.4 million in the second quarter of 2026 from US$30.2 million in the same period of 2025. For further information on the non-GAAP financial measures presented above, see the section headed “Use of Non-GAAP Financial Measures.”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Research and development expenses in the second quarter of 2026 were US$23.1 million, up 3.4% from US$22.4 million in the same period of 2025, primarily due to i) higher employee-related cost and outsourced labor cost of US$1.2 million, ii) higher third-party cloud service fees of US$0.3 million, iii) partially offset by lower share-based compensation expenses of US$1.1 million as equity incentive awards granted at higher valuations in previous years have been gradually amortized. Non-GAAP adjusted research and development expenses in the second quarter of 2026 were US$22.8 million, compared to US$20.9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Sales and marketing expenses in the second quarter of 2026 were US$8.3 million, up 6.4% from US$7.8 million in the same period of 2025, primarily because of i) higher employee-related cost of US$0.5 million, ii) higher marketing expense of US$0.2 million, iii) partially offset by lower share-based compensation expenses of US$0.5 million as equity incentive awards granted at higher valuations in previous years have been gradually amortized. Non-GAAP adjusted sales and marketing expenses in the second quarter of 2026 were US$8.3 million, compared to US$7.2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General and administrative expenses in the second quarter of 2026 were US$4.7 million, down 49.8% from US$9.4 million in the same period of 2025, primarily due to i) lower share-based compensation expenses of US$5.3 million as equity incentive awards granted at higher valuations in previous years have been gradually amortized, ii) partially offset by higher allowance for credit losses of US$0.3 million. Non-GAAP adjusted general and administrative expenses in the second quarter of 2026 were US$4.9 million, compared to US$3.9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pPr>
            <w:r>
              <w:rPr/>
              <w:t>Other operating income, net in the second quarter of 2026 was US$2.4 million, primarily due to the receipt of software value-added tax refunds.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PROFIT FROM OPERATIONS AND OPERATING MARGIN</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from operations in the second quarter of 2026 was US$9.3 million, compared to US$1.1 million in the same period of 2025. The Company had a non-GAAP profit from operations of US$9.6 million in the second quarter of 2026, compared to US$8.6 million in the same period of 2025, demonstrating consistent operating profitability and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 in the second quarter of 2026 was 10.0%, up 8.6 percentage points from 1.4% in the same period of 2025. Non-GAAP operating margin in the second quarter of 2026 was 10.3%, down 0.4 percentage points from 10.7% in the same period of 2025.</w:t>
      </w:r>
    </w:p>
    <w:p>
      <w:pPr>
        <w:pStyle w:val="TextBody"/>
        <w:bidi w:val="0"/>
        <w:spacing w:before="0" w:after="0"/>
        <w:ind w:left="117" w:right="0" w:hanging="0"/>
        <w:jc w:val="left"/>
        <w:rPr>
          <w:caps w:val="false"/>
          <w:smallCaps w:val="false"/>
        </w:rPr>
      </w:pPr>
      <w:r>
        <w:rPr>
          <w:caps w:val="false"/>
          <w:smallCaps w:val="false"/>
        </w:rPr>
        <w:t> </w:t>
      </w:r>
    </w:p>
    <w:p>
      <w:pPr>
        <w:pStyle w:val="TextBody"/>
        <w:bidi w:val="0"/>
        <w:spacing w:before="0" w:after="0"/>
        <w:ind w:left="117"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117"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PROFIT AND NET MARGIN</w:t>
      </w:r>
    </w:p>
    <w:p>
      <w:pPr>
        <w:pStyle w:val="TextBody"/>
        <w:bidi w:val="0"/>
        <w:spacing w:before="0" w:after="0"/>
        <w:ind w:left="117"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in the second quarter of 2026 was US$18.6 million, increased by 48.0% from US$12.6 million in the same period of 2025. Non-GAAP net profit in the second quarter of 2026 was US$18.9 million, compared to US$20.1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 in the second quarter of 2026 was 20.1%, improved by 4.4 percentage points from 15.7% in the same period of 2025. Non-GAAP net margin in the second quarter of 2026 was 20.4%, compared to 25.1% in the same period of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PROFIT PER ADS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profit per ADS was US$0.03 in the second quarter of 2026, compared to US$0.02 in the same period of 2025. Each ADS represents one Class A ordinary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basic and diluted net profit per ADS was US$0.03 in the second quarter of 2026, compared to US$0.03 in the same period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TIME DEPOSITS AND TREASURY SECURITIES RECORDED AS SHORT-TERM AND LONG-TERM INVESTMENTS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time deposits and treasury securities recorded as short-term and long-term investments were US$976.1 million as of June 30, 2026, compared to US$1,017.3 million as of December 31, 2025. The Company believes its current cash position is sufficient to meet its current liquidity and working capital needs.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GENERATED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 in the second quarter of 2026 was US$6.2 million, compared to US$18.2 million in the same period of 2025. The net cash generated from operating activities for the second quarter of 2026 mainly due to working capital changes in the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on non-GAAP financial measures presented above, see the section headed “Use of Non-GAAP Financial Measures.”</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operating environment remains complex, while continuing to show signs of normalization. Participants across the value chain – including manufacturers, brands and channel partners – remain cautious in their planning. At the same time, we have observed more normalized project execution and continued demand recovery across several of our core categories, suggesting that the market is gradually moving from adjustment toward a more stable operating rhythm.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global AI development is entering a new stage of application-led growth. As AI technologies continue to evolve from foundational capabilities toward real-world deployment, enterprises and consumers are increasingly focused on practical use cases, scalable implementation and scenario-based integration with physical devices. This trend is accelerating the convergence of AI and smart hardware and creating new opportunities for application innovation, product expansion and ecosystem collaboration across a wide range of verticals.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 this backdrop, Tuya continues to advance its AI-driven strategy by strengthening its AI developer platform, expanding application-level capabilities and supporting broader deployment across diverse smart-device and industry scenarios. The ongoing evolution of AI applications, together with the Company’s platform capabilities, ecosystem strengths and global developer base, will continue to support the creation of diversified, higher-value opportunities over the long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environment, the Company will continue to maintain disciplined execution while selectively investing in AI-driven applications, platform capabilities and ecosystem development. The Company will continue to iterate and improve its products and services, enhance both software and hardware capabilities, and further support customers and developers in bringing AI-driven applications into practical deployment. At the same time, the Company recognizes that its future trajectory may continue to be influenced by a range of external factors, including shifts in consumer demand, regional economic divergence, inventory dynamics, foreign exchange and interest-rate volatility, tariffs and trade-policy adjustments, and broader geopolitical uncertainties.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hold a conference call at 08:30 P.M. U.S. Eastern Time on Monday, August 24, 2026 (08:30 A.M. Hong Kong Time on Tuesday, August 25, 2026) to discuss the financial results. In advance of the conference call, all participants must use the following links to complete the online registration process. Upon registering, each participant will receive the dial-in information and a unique PIN (personal access code) to join the call as well as an email confirmation with the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Online Webcast Registration: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https://edge.media-server.com/mmc/p/x8phnjqd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Call Registration:</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https://register-conf.media-server.com/register/BI2992f21177c7423c83ce142eb2ef031c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https://ir.tuya.com.</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Tuya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 (NYSE: TUYA; HKEX: 2391) is a global leading AI cloud platform service provider with a mission to build an AI developer ecosystem and enable everything to be smart. Tuya has pioneered a purpose-built AI cloud platform with cloud and generative AI capabilities that delivers a full suite of offerings, including Platform-as-a-Service, or PaaS, AI application &amp; others and Smart home &amp; robot products for developers of smart device, commercial applications, and industries. Through its AI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business, the Company considers and uses non-GAAP financial measures, such as non-GAAP operating expenses, non-GAAP profit from operations (including non-GAAP operating margin), non-GAAP net profit (including non-GAAP net margin), and non-GAAP basic and diluted net profit per ADS, as supplemental measures to review and assess its operating performance. The presentation of non-GAAP financial measures is not intended to be considered in isolation or as a substitute for the financial information prepared and presented in accordance with generally accepted accounting principles in the United States of America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The Company defines non-GAAP financial measures by excluding the impact of share-based compensation expenses and credit-related impairment/(reversal) of long-term investments from the respective GAAP financial measures. The Company presents the non-GAAP financial measures because they are used by the management to evaluate its operating performance and formulate business plans. The Company also believes that the use of the non-GAAP financial measures facilitates investors’ assessment of its operating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defined under U.S. GAAP and are not presented in accordance with U.S. GAAP. Non-GAAP financial measures have limitations as analytical tools. One of the key limitations of using the aforementioned non-GAAP financial measures is that they do not reflect all items of expenses that affect the Company’s operations. Share-based compensation expenses and credit-related impairment/(reversal) of long-term investments have been and may continue to be incurred in the business and are not reflected in the presentation of non-GAAP measures. Further, the non-GAAP financial measures may differ from the non-GAAP information used by other companies, including peer companies, and therefore their comparability may be limited. The Company compensates for these limitations by reconciling the non-GAAP measures to the most directly comparable U.S. GAAP measures, all of which should be considered when evaluating the Company’s performance. The Company encourages you to review its financial information in its entirety and not rely on a single financial measure.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Tuya’s non-GAAP financial measures to the most comparable U.S. GAAP measures are included at the end of this press release.</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ind w:left="142"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statements.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The forward-looking statements included in this press release are only made as of the date hereof, and the Company disclaims any obligation to publicly update any forward-looking statements to reflect subsequent events or circumstances, except as required by law. All forward-looking statements should be evaluated with the understanding of their inherent uncertainty.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ir@tuya.com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 Strategy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Haiyan LI-LABBE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hl@hl-strategy.com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Tel: +86-10-6508-0677</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Tel: +1-212-481-2050</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tuya@thepiacentegroup.com</w:t>
      </w:r>
    </w:p>
    <w:p>
      <w:pPr>
        <w:pStyle w:val="TextBody"/>
        <w:bidi w:val="0"/>
        <w:spacing w:before="0" w:after="0"/>
        <w:ind w:left="1467" w:right="0" w:hanging="0"/>
        <w:jc w:val="center"/>
        <w:rPr>
          <w:caps w:val="false"/>
          <w:smallCaps w:val="false"/>
        </w:rPr>
      </w:pPr>
      <w:r>
        <w:rPr>
          <w:caps w:val="false"/>
          <w:smallCaps w:val="false"/>
        </w:rPr>
        <w:t> </w:t>
      </w:r>
    </w:p>
    <w:p>
      <w:pPr>
        <w:pStyle w:val="TextBody"/>
        <w:bidi w:val="0"/>
        <w:spacing w:before="0" w:after="0"/>
        <w:ind w:left="1467"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146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1467" w:right="0" w:hanging="0"/>
        <w:jc w:val="center"/>
        <w:rPr>
          <w:caps w:val="false"/>
          <w:smallCaps w:val="false"/>
        </w:rPr>
      </w:pPr>
      <w:r>
        <w:rPr>
          <w:caps w:val="false"/>
          <w:smallCaps w:val="false"/>
        </w:rPr>
        <w:t> </w:t>
      </w:r>
    </w:p>
    <w:tbl>
      <w:tblPr>
        <w:tblW w:w="6509" w:type="dxa"/>
        <w:jc w:val="left"/>
        <w:tblInd w:w="0" w:type="dxa"/>
        <w:tblLayout w:type="fixed"/>
        <w:tblCellMar>
          <w:top w:w="0" w:type="dxa"/>
          <w:left w:w="0" w:type="dxa"/>
          <w:bottom w:w="0" w:type="dxa"/>
          <w:right w:w="0" w:type="dxa"/>
        </w:tblCellMar>
      </w:tblPr>
      <w:tblGrid>
        <w:gridCol w:w="4220"/>
        <w:gridCol w:w="60"/>
        <w:gridCol w:w="74"/>
        <w:gridCol w:w="1055"/>
        <w:gridCol w:w="60"/>
        <w:gridCol w:w="60"/>
        <w:gridCol w:w="60"/>
        <w:gridCol w:w="845"/>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890,708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871,704</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108,173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63,843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1,098,257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253</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1,132,514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1,165,601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32,993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Incomes 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5,651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137,958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pPr>
      <w:r>
        <w:rPr>
          <w:caps w:val="false"/>
          <w:smallCaps w:val="false"/>
        </w:rPr>
        <w:t> </w:t>
      </w:r>
      <w:r>
        <w:rPr/>
        <w:t xml:space="preserve"> </w:t>
      </w:r>
    </w:p>
    <w:tbl>
      <w:tblPr>
        <w:tblW w:w="5799" w:type="dxa"/>
        <w:jc w:val="left"/>
        <w:tblInd w:w="0" w:type="dxa"/>
        <w:tblLayout w:type="fixed"/>
        <w:tblCellMar>
          <w:top w:w="0" w:type="dxa"/>
          <w:left w:w="0" w:type="dxa"/>
          <w:bottom w:w="0" w:type="dxa"/>
          <w:right w:w="0" w:type="dxa"/>
        </w:tblCellMar>
      </w:tblPr>
      <w:tblGrid>
        <w:gridCol w:w="3470"/>
        <w:gridCol w:w="60"/>
        <w:gridCol w:w="74"/>
        <w:gridCol w:w="1055"/>
        <w:gridCol w:w="80"/>
        <w:gridCol w:w="60"/>
        <w:gridCol w:w="60"/>
        <w:gridCol w:w="845"/>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1,513,127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(511,961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(477,551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1,027,643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1,132,514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1,165,601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3" w:right="20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ind w:left="636" w:right="62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w:t>
      </w:r>
    </w:p>
    <w:p>
      <w:pPr>
        <w:pStyle w:val="TextBody"/>
        <w:bidi w:val="0"/>
        <w:spacing w:before="0" w:after="0"/>
        <w:ind w:left="636" w:right="62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w:t>
      </w:r>
    </w:p>
    <w:p>
      <w:pPr>
        <w:pStyle w:val="TextBody"/>
        <w:bidi w:val="0"/>
        <w:spacing w:before="0" w:after="0"/>
        <w:ind w:left="213" w:right="20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ind w:left="213" w:right="208"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992" w:type="dxa"/>
        <w:jc w:val="left"/>
        <w:tblInd w:w="0" w:type="dxa"/>
        <w:tblLayout w:type="fixed"/>
        <w:tblCellMar>
          <w:top w:w="0" w:type="dxa"/>
          <w:left w:w="0" w:type="dxa"/>
          <w:bottom w:w="0" w:type="dxa"/>
          <w:right w:w="0" w:type="dxa"/>
        </w:tblCellMar>
      </w:tblPr>
      <w:tblGrid>
        <w:gridCol w:w="4595"/>
        <w:gridCol w:w="60"/>
        <w:gridCol w:w="97"/>
        <w:gridCol w:w="1062"/>
        <w:gridCol w:w="125"/>
        <w:gridCol w:w="94"/>
        <w:gridCol w:w="100"/>
        <w:gridCol w:w="1089"/>
        <w:gridCol w:w="80"/>
        <w:gridCol w:w="60"/>
        <w:gridCol w:w="91"/>
        <w:gridCol w:w="1068"/>
        <w:gridCol w:w="107"/>
        <w:gridCol w:w="80"/>
        <w:gridCol w:w="94"/>
        <w:gridCol w:w="1095"/>
        <w:gridCol w:w="9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53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9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80,130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154,817</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173,817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(41,384</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(49,887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(79,820</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(92,871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38,746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74,997</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(45,183</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(45,098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(7,825</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(8,326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(18,315</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(9,031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(37,658</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(33,740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(75,361</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Other non-operating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10,761</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attributable to Tuya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sz w:val="20"/>
              </w:rPr>
            </w:pPr>
            <w:r>
              <w:rPr>
                <w:sz w:val="20"/>
              </w:rPr>
              <w:t>Changes in fair value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 attributable to Tuya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938" w:right="0" w:hanging="0"/>
        <w:jc w:val="left"/>
        <w:rPr>
          <w:caps w:val="false"/>
          <w:smallCaps w:val="false"/>
        </w:rPr>
      </w:pPr>
      <w:r>
        <w:rPr>
          <w:caps w:val="false"/>
          <w:smallCaps w:val="false"/>
        </w:rPr>
        <w:t> </w:t>
      </w:r>
    </w:p>
    <w:p>
      <w:pPr>
        <w:pStyle w:val="TextBody"/>
        <w:bidi w:val="0"/>
        <w:spacing w:before="0" w:after="0"/>
        <w:ind w:left="4938"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493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9"/>
        <w:gridCol w:w="60"/>
        <w:gridCol w:w="61"/>
        <w:gridCol w:w="1080"/>
        <w:gridCol w:w="61"/>
        <w:gridCol w:w="61"/>
        <w:gridCol w:w="61"/>
        <w:gridCol w:w="1096"/>
        <w:gridCol w:w="60"/>
        <w:gridCol w:w="60"/>
        <w:gridCol w:w="61"/>
        <w:gridCol w:w="1079"/>
        <w:gridCol w:w="60"/>
        <w:gridCol w:w="60"/>
        <w:gridCol w:w="62"/>
        <w:gridCol w:w="1095"/>
        <w:gridCol w:w="79"/>
      </w:tblGrid>
      <w:tr>
        <w:trPr/>
        <w:tc>
          <w:tcPr>
            <w:tcW w:w="5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1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79" w:type="dxa"/>
            <w:tcBorders/>
            <w:vAlign w:val="center"/>
          </w:tcPr>
          <w:p>
            <w:pPr>
              <w:pStyle w:val="TableContents"/>
              <w:bidi w:val="0"/>
              <w:spacing w:before="0" w:after="283"/>
              <w:jc w:val="left"/>
              <w:rPr/>
            </w:pPr>
            <w:r>
              <w:rPr/>
              <w:t> </w:t>
            </w:r>
          </w:p>
        </w:tc>
      </w:tr>
      <w:tr>
        <w:trPr/>
        <w:tc>
          <w:tcPr>
            <w:tcW w:w="5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61" w:type="dxa"/>
            <w:tcBorders/>
            <w:vAlign w:val="center"/>
          </w:tcPr>
          <w:p>
            <w:pPr>
              <w:pStyle w:val="TableContents"/>
              <w:bidi w:val="0"/>
              <w:spacing w:before="0" w:after="283"/>
              <w:jc w:val="center"/>
              <w:rPr>
                <w:caps w:val="false"/>
                <w:smallCaps w:val="false"/>
              </w:rPr>
            </w:pPr>
            <w:r>
              <w:rPr>
                <w:caps w:val="false"/>
                <w:smallCaps w:val="false"/>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attributable to Tuya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profit attributable to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12,587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5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used in computing profit per share, basic and diluted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10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608,529,487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615,530,665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608,348,598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615,524,218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610,477,980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616,389,351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610,414,036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616,345,859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7"/>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 per share attributable to ordinary shareholders, basic and diluted</w:t>
            </w:r>
          </w:p>
        </w:tc>
      </w:tr>
      <w:tr>
        <w:trPr/>
        <w:tc>
          <w:tcPr>
            <w:tcW w:w="510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7"/>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expenses were included in:</w:t>
            </w:r>
          </w:p>
        </w:tc>
      </w:tr>
      <w:tr>
        <w:trPr/>
        <w:tc>
          <w:tcPr>
            <w:tcW w:w="51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5,437</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4938"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493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4"/>
        <w:gridCol w:w="60"/>
        <w:gridCol w:w="85"/>
        <w:gridCol w:w="991"/>
        <w:gridCol w:w="110"/>
        <w:gridCol w:w="83"/>
        <w:gridCol w:w="87"/>
        <w:gridCol w:w="1013"/>
        <w:gridCol w:w="80"/>
        <w:gridCol w:w="60"/>
        <w:gridCol w:w="84"/>
        <w:gridCol w:w="992"/>
        <w:gridCol w:w="101"/>
        <w:gridCol w:w="75"/>
        <w:gridCol w:w="87"/>
        <w:gridCol w:w="1013"/>
        <w:gridCol w:w="100"/>
      </w:tblGrid>
      <w:tr>
        <w:trPr/>
        <w:tc>
          <w:tcPr>
            <w:tcW w:w="5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6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100" w:type="dxa"/>
            <w:tcBorders/>
            <w:vAlign w:val="center"/>
          </w:tcPr>
          <w:p>
            <w:pPr>
              <w:pStyle w:val="TableContents"/>
              <w:bidi w:val="0"/>
              <w:spacing w:before="0" w:after="283"/>
              <w:jc w:val="left"/>
              <w:rPr/>
            </w:pPr>
            <w:r>
              <w:rPr/>
              <w:t> </w:t>
            </w:r>
          </w:p>
        </w:tc>
      </w:tr>
      <w:tr>
        <w:trPr/>
        <w:tc>
          <w:tcPr>
            <w:tcW w:w="51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01"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12,569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in)/generated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79,968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(38,704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(38,704</w:t>
            </w:r>
          </w:p>
        </w:tc>
        <w:tc>
          <w:tcPr>
            <w:tcW w:w="100"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(decrease)/increase in cash and cash equivalents,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(40,739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70,687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(18,988</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restricted cash at the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763,953</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912,704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653,384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890,953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restricted cash at the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724,071</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871,965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724,071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871,965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938" w:right="0" w:hanging="0"/>
        <w:jc w:val="left"/>
        <w:rPr>
          <w:caps w:val="false"/>
          <w:smallCaps w:val="false"/>
        </w:rPr>
      </w:pPr>
      <w:r>
        <w:rPr>
          <w:caps w:val="false"/>
          <w:smallCaps w:val="false"/>
        </w:rPr>
        <w:t> </w:t>
      </w:r>
    </w:p>
    <w:p>
      <w:pPr>
        <w:pStyle w:val="TextBody"/>
        <w:bidi w:val="0"/>
        <w:spacing w:before="0" w:after="0"/>
        <w:ind w:left="4938"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4938"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NON-GAAP MEASURES TO THE MOST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COMPARABLE FINANCIAL MEASURES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53"/>
        <w:gridCol w:w="60"/>
        <w:gridCol w:w="83"/>
        <w:gridCol w:w="914"/>
        <w:gridCol w:w="240"/>
        <w:gridCol w:w="77"/>
        <w:gridCol w:w="85"/>
        <w:gridCol w:w="931"/>
        <w:gridCol w:w="215"/>
        <w:gridCol w:w="60"/>
        <w:gridCol w:w="83"/>
        <w:gridCol w:w="914"/>
        <w:gridCol w:w="267"/>
        <w:gridCol w:w="70"/>
        <w:gridCol w:w="85"/>
        <w:gridCol w:w="932"/>
        <w:gridCol w:w="236"/>
      </w:tblGrid>
      <w:tr>
        <w:trPr/>
        <w:tc>
          <w:tcPr>
            <w:tcW w:w="49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351"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236" w:type="dxa"/>
            <w:tcBorders/>
            <w:vAlign w:val="center"/>
          </w:tcPr>
          <w:p>
            <w:pPr>
              <w:pStyle w:val="TableContents"/>
              <w:bidi w:val="0"/>
              <w:spacing w:before="0" w:after="283"/>
              <w:jc w:val="left"/>
              <w:rPr/>
            </w:pPr>
            <w:r>
              <w:rPr/>
              <w:t> </w:t>
            </w:r>
          </w:p>
        </w:tc>
      </w:tr>
      <w:tr>
        <w:trPr/>
        <w:tc>
          <w:tcPr>
            <w:tcW w:w="49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0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operating expenses to non-GAAP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7"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(22,373</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(23,126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(45,183</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(45,098</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3,476</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(20,913</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(22,770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(41,707</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(44,370</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(7,825</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(8,326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(15,746</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Sales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(7,243</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(14,852</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(15,586</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(4,716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(18,315</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(9,031</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10,958</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342</w:t>
            </w:r>
          </w:p>
        </w:tc>
        <w:tc>
          <w:tcPr>
            <w:tcW w:w="23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Credit-related impairment/(reversal) of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36" w:type="dxa"/>
            <w:tcBorders/>
            <w:shd w:fill="FFFF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(3,922</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(4,851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(7,330</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(8,996</w:t>
            </w:r>
          </w:p>
        </w:tc>
        <w:tc>
          <w:tcPr>
            <w:tcW w:w="236"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953" w:type="dxa"/>
            <w:tcBorders/>
            <w:shd w:fill="CCEEFF" w:val="clear"/>
            <w:vAlign w:val="center"/>
          </w:tcPr>
          <w:p>
            <w:pPr>
              <w:pStyle w:val="TableContents"/>
              <w:bidi w:val="0"/>
              <w:spacing w:before="0" w:after="283"/>
              <w:jc w:val="left"/>
              <w:rPr>
                <w:b/>
                <w:sz w:val="20"/>
              </w:rPr>
            </w:pPr>
            <w:r>
              <w:rPr>
                <w:b/>
                <w:sz w:val="20"/>
              </w:rPr>
              <w:t>Reconciliation of profit/(loss) from operations to non-GAAP profit from operations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26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9,308</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16,780</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w:t>
            </w:r>
          </w:p>
        </w:tc>
        <w:tc>
          <w:tcPr>
            <w:tcW w:w="2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15,754</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Credit-related impairment/(reversal)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profit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8,594</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15,417</w:t>
            </w:r>
          </w:p>
        </w:tc>
        <w:tc>
          <w:tcPr>
            <w:tcW w:w="2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17,703</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Operating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2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335" w:right="6622" w:hanging="193"/>
        <w:jc w:val="left"/>
        <w:rPr>
          <w:caps w:val="false"/>
          <w:smallCaps w:val="false"/>
        </w:rPr>
      </w:pPr>
      <w:r>
        <w:rPr>
          <w:caps w:val="false"/>
          <w:smallCaps w:val="false"/>
        </w:rPr>
        <w:t> </w:t>
      </w:r>
    </w:p>
    <w:p>
      <w:pPr>
        <w:pStyle w:val="TextBody"/>
        <w:bidi w:val="0"/>
        <w:spacing w:before="0" w:after="0"/>
        <w:ind w:left="335" w:right="6622" w:hanging="193"/>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335" w:right="6622" w:hanging="193"/>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TUYA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NON-GAAP MEASURES TO THE MOST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DIRECTLY COMPARABLE FINANCIAL MEASURES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thousands (“US$”),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9"/>
        <w:gridCol w:w="60"/>
        <w:gridCol w:w="61"/>
        <w:gridCol w:w="1076"/>
        <w:gridCol w:w="185"/>
        <w:gridCol w:w="60"/>
        <w:gridCol w:w="62"/>
        <w:gridCol w:w="1090"/>
        <w:gridCol w:w="215"/>
        <w:gridCol w:w="60"/>
        <w:gridCol w:w="61"/>
        <w:gridCol w:w="1076"/>
        <w:gridCol w:w="185"/>
        <w:gridCol w:w="60"/>
        <w:gridCol w:w="62"/>
        <w:gridCol w:w="1090"/>
        <w:gridCol w:w="233"/>
      </w:tblGrid>
      <w:tr>
        <w:trPr/>
        <w:tc>
          <w:tcPr>
            <w:tcW w:w="4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3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233" w:type="dxa"/>
            <w:tcBorders/>
            <w:vAlign w:val="center"/>
          </w:tcPr>
          <w:p>
            <w:pPr>
              <w:pStyle w:val="TableContents"/>
              <w:bidi w:val="0"/>
              <w:spacing w:before="0" w:after="283"/>
              <w:jc w:val="left"/>
              <w:rPr/>
            </w:pPr>
            <w:r>
              <w:rPr/>
              <w:t> </w:t>
            </w:r>
          </w:p>
        </w:tc>
      </w:tr>
      <w:tr>
        <w:trPr/>
        <w:tc>
          <w:tcPr>
            <w:tcW w:w="45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profit to non-GAAP net profit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45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18,634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w:t>
            </w:r>
          </w:p>
        </w:tc>
        <w:tc>
          <w:tcPr>
            <w:tcW w:w="2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Credit-related impairment/(reversal) of 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w:t>
            </w:r>
          </w:p>
        </w:tc>
        <w:tc>
          <w:tcPr>
            <w:tcW w:w="2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6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20,093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18,929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35,333</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w:t>
            </w:r>
          </w:p>
        </w:tc>
        <w:tc>
          <w:tcPr>
            <w:tcW w:w="23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5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ordinary shares used in computing non-GAAP net profit per share,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456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608,529,487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615,530,665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608,348,598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615,524,218</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610,477,980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616,389,351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610,414,036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616,345,859</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profit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456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69"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2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4" w:name="tm2623868d1_ex99-2.htm"/>
      <w:bookmarkStart w:id="5" w:name="kstm2623868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2870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8700" cy="54292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center"/>
        <w:rPr>
          <w:caps w:val="false"/>
          <w:smallCaps w:val="false"/>
          <w:color w:val="231F20"/>
        </w:rPr>
      </w:pPr>
      <w:r>
        <w:rPr>
          <w:rFonts w:eastAsia="Times New Roman;Times;Serif"/>
          <w:b/>
          <w:i w:val="false"/>
          <w:caps w:val="false"/>
          <w:smallCaps w:val="false"/>
          <w:color w:val="231F20"/>
          <w:sz w:val="20"/>
        </w:rPr>
        <w:t>塗鴉智能</w:t>
      </w:r>
      <w:r>
        <w:rPr>
          <w:rFonts w:ascii="Times New Roman;Times;Serif" w:hAnsi="Times New Roman;Times;Serif"/>
          <w:b/>
          <w:i w:val="false"/>
          <w:caps w:val="false"/>
          <w:smallCaps w:val="false"/>
          <w:color w:val="231F20"/>
          <w:sz w:val="20"/>
        </w:rPr>
        <w:t>*</w:t>
      </w:r>
    </w:p>
    <w:p>
      <w:pPr>
        <w:pStyle w:val="TextBody"/>
        <w:bidi w:val="0"/>
        <w:spacing w:before="0" w:after="0"/>
        <w:ind w:left="0" w:right="0"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(HKEX Stock Code: 2391)</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(NYSE Stock Ticker: TUYA)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INTERIM RESULTS ANNOUNCEMENT</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Tuya Inc. (“</w:t>
      </w:r>
      <w:r>
        <w:rPr>
          <w:rFonts w:ascii="Times New Roman;Times;Serif" w:hAnsi="Times New Roman;Times;Serif"/>
          <w:b/>
          <w:i w:val="false"/>
          <w:caps w:val="false"/>
          <w:smallCaps w:val="false"/>
          <w:color w:val="231F20"/>
          <w:sz w:val="20"/>
        </w:rPr>
        <w:t>Tuya</w:t>
      </w:r>
      <w:r>
        <w:rPr>
          <w:rFonts w:ascii="Times New Roman;Times;Serif" w:hAnsi="Times New Roman;Times;Serif"/>
          <w:b w:val="false"/>
          <w:i w:val="false"/>
          <w:caps w:val="false"/>
          <w:smallCaps w:val="false"/>
          <w:color w:val="231F20"/>
          <w:sz w:val="20"/>
        </w:rPr>
        <w:t>” or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HKEX: 2391; NYSE: TUYA), a global leading AI cloud platform service provider, today announced the unaudited financial results of the Company, its subsidiaries and consolidated affiliated entities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for the six months ended June 30, 2026 (the “</w:t>
      </w:r>
      <w:r>
        <w:rPr>
          <w:rFonts w:ascii="Times New Roman;Times;Serif" w:hAnsi="Times New Roman;Times;Serif"/>
          <w:b/>
          <w:i w:val="false"/>
          <w:caps w:val="false"/>
          <w:smallCaps w:val="false"/>
          <w:color w:val="231F20"/>
          <w:sz w:val="20"/>
        </w:rPr>
        <w:t>Reporting Period</w:t>
      </w:r>
      <w:r>
        <w:rPr>
          <w:rFonts w:ascii="Times New Roman;Times;Serif" w:hAnsi="Times New Roman;Times;Serif"/>
          <w:b w:val="false"/>
          <w:i w:val="false"/>
          <w:caps w:val="false"/>
          <w:smallCaps w:val="false"/>
          <w:color w:val="231F20"/>
          <w:sz w:val="20"/>
        </w:rPr>
        <w:t>”), together with comparative figures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color w:val="231F20"/>
          <w:sz w:val="20"/>
          <w:bdr w:val="single" w:sz="8" w:space="5" w:color="000000"/>
        </w:rPr>
      </w:pPr>
      <w:r>
        <w:rPr>
          <w:rFonts w:ascii="Times New Roman;Times;Serif" w:hAnsi="Times New Roman;Times;Serif"/>
          <w:b/>
          <w:i w:val="false"/>
          <w:caps w:val="false"/>
          <w:smallCaps w:val="false"/>
          <w:color w:val="231F20"/>
          <w:sz w:val="20"/>
          <w:bdr w:val="single" w:sz="8" w:space="5" w:color="000000"/>
        </w:rPr>
        <w:t>FINANCIAL HIGHLIGHTS FOR THE SIX MONTHS ENDED JUNE 30, 2026</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Total revenue </w:t>
            </w:r>
            <w:r>
              <w:rPr>
                <w:sz w:val="20"/>
              </w:rPr>
              <w:t>was US$173.8 million, up approximately 12.3% year-over-year (for the six months ended June 30, 2025: US$154.8 million).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Platform-as-a-service (“PaaS”) revenue </w:t>
            </w:r>
            <w:r>
              <w:rPr>
                <w:sz w:val="20"/>
              </w:rPr>
              <w:t>was US$127.0 million, up approximately 13.5% year-over-year (for the six months ended June 30, 2025: US$111.9 million).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AI application &amp; others revenue</w:t>
            </w:r>
            <w:r>
              <w:rPr>
                <w:b/>
                <w:position w:val="7"/>
                <w:sz w:val="16"/>
                <w:sz w:val="20"/>
              </w:rPr>
              <w:t>1</w:t>
            </w:r>
            <w:r>
              <w:rPr>
                <w:b/>
                <w:sz w:val="20"/>
              </w:rPr>
              <w:t xml:space="preserve"> (formerly known as Software-as-a-service (“SaaS”) and others revenue) </w:t>
            </w:r>
            <w:r>
              <w:rPr>
                <w:sz w:val="20"/>
              </w:rPr>
              <w:t>was US$23.2 million, up approximately 10.1% year-over-year (for the six months ended June 30, 2025: US$21.0 million).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Smart home &amp; robot product revenue</w:t>
            </w:r>
            <w:r>
              <w:rPr>
                <w:b/>
                <w:position w:val="7"/>
                <w:sz w:val="16"/>
                <w:sz w:val="20"/>
              </w:rPr>
              <w:t>2</w:t>
            </w:r>
            <w:r>
              <w:rPr>
                <w:b/>
                <w:sz w:val="20"/>
              </w:rPr>
              <w:t xml:space="preserve"> (formerly known as Smart solution revenue) </w:t>
            </w:r>
            <w:r>
              <w:rPr>
                <w:sz w:val="20"/>
              </w:rPr>
              <w:t>was US$23.7 million, up approximately 8.1% year-over-year (for the six months ended June 30, 2025: US$21.9 million).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Overall gross margin </w:t>
            </w:r>
            <w:r>
              <w:rPr>
                <w:sz w:val="20"/>
              </w:rPr>
              <w:t>decreased to 46.6%, down 1.8 percentage points year-over-year (for the six months ended June 30, 2025: 48.4%). Gross margin of PaaS decreased to 46.5%, down 2.1 percentage points year-over-year (for the six months ended June 30, 2025: 48.6%).</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Operating margin </w:t>
            </w:r>
            <w:r>
              <w:rPr>
                <w:sz w:val="20"/>
              </w:rPr>
              <w:t xml:space="preserve">was 9.7%, improved by 9.9 percentage points year-over-year (for the six months ended June 30, 2025: negative 0.2%). </w:t>
            </w:r>
            <w:r>
              <w:rPr>
                <w:b/>
                <w:sz w:val="20"/>
              </w:rPr>
              <w:t xml:space="preserve">Non-GAAP operating margin </w:t>
            </w:r>
            <w:r>
              <w:rPr>
                <w:sz w:val="20"/>
              </w:rPr>
              <w:t>was 10.2%, improved by 0.2 percentage points year-over-year (for the six months ended June 30, 2025: 10.0%).</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 </w:t>
      </w:r>
      <w:r>
        <w:rPr>
          <w:rFonts w:ascii="Times New Roman;Times;Serif" w:hAnsi="Times New Roman;Times;Serif"/>
          <w:b w:val="false"/>
          <w:i/>
          <w:caps w:val="false"/>
          <w:smallCaps w:val="false"/>
          <w:color w:val="231F20"/>
          <w:sz w:val="20"/>
        </w:rPr>
        <w:t>For identification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Net margin </w:t>
            </w:r>
            <w:r>
              <w:rPr>
                <w:sz w:val="20"/>
              </w:rPr>
              <w:t xml:space="preserve">was 19.8%, up 4.6 percentage points year-over-year (for the six months ended June 30, 2025: 15.2%). </w:t>
            </w:r>
            <w:r>
              <w:rPr>
                <w:b/>
                <w:sz w:val="20"/>
              </w:rPr>
              <w:t xml:space="preserve">Non-GAAP net margin </w:t>
            </w:r>
            <w:r>
              <w:rPr>
                <w:sz w:val="20"/>
              </w:rPr>
              <w:t>was 20.3% (for the six months ended June 30, 2025: 25.4%).</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Net cash generated from operating activities </w:t>
            </w:r>
            <w:r>
              <w:rPr>
                <w:sz w:val="20"/>
              </w:rPr>
              <w:t>was US$12.6 million (for the six months ended June 30, 2025: US$27.5 million).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 xml:space="preserve">Total cash, cash equivalents, time deposits and treasury securities recorded as short-term and long-term investments </w:t>
            </w:r>
            <w:r>
              <w:rPr>
                <w:sz w:val="20"/>
              </w:rPr>
              <w:t>were US$976.1 million as of June 30, 2026, compared to US$1,017.3 million as of December 31, 2025.</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color w:val="231F20"/>
          <w:sz w:val="20"/>
          <w:bdr w:val="single" w:sz="8" w:space="5" w:color="000000"/>
        </w:rPr>
      </w:pPr>
      <w:r>
        <w:rPr>
          <w:rFonts w:ascii="Times New Roman;Times;Serif" w:hAnsi="Times New Roman;Times;Serif"/>
          <w:b/>
          <w:i w:val="false"/>
          <w:caps w:val="false"/>
          <w:smallCaps w:val="false"/>
          <w:color w:val="231F20"/>
          <w:sz w:val="20"/>
          <w:bdr w:val="single" w:sz="8" w:space="5" w:color="000000"/>
        </w:rPr>
        <w:t>OPERATING HIGHLIGHTS FOR THE SIX MONTHS ENDED JUNE 30, 2026</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PaaS customers</w:t>
            </w:r>
            <w:r>
              <w:rPr>
                <w:b/>
                <w:position w:val="7"/>
                <w:sz w:val="16"/>
                <w:sz w:val="20"/>
              </w:rPr>
              <w:t>3</w:t>
            </w:r>
            <w:r>
              <w:rPr>
                <w:b/>
                <w:sz w:val="20"/>
              </w:rPr>
              <w:t xml:space="preserve"> </w:t>
            </w:r>
            <w:r>
              <w:rPr>
                <w:sz w:val="20"/>
              </w:rPr>
              <w:t>for the six months ended June 30, 2026 were approximately 2,700 (for the six months ended June 30, 2025: approximately 2,700). Total customers for the six months ended June 30, 2026 were approximately 4,000 (for the six months ended June 30, 2025: approximately 4,100).</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sz w:val="20"/>
              </w:rPr>
            </w:pPr>
            <w:r>
              <w:rPr>
                <w:b/>
                <w:sz w:val="20"/>
              </w:rPr>
              <w:t>Premium PaaS customers</w:t>
            </w:r>
            <w:r>
              <w:rPr>
                <w:b/>
                <w:position w:val="7"/>
                <w:sz w:val="16"/>
                <w:sz w:val="20"/>
              </w:rPr>
              <w:t>4</w:t>
            </w:r>
            <w:r>
              <w:rPr>
                <w:b/>
                <w:sz w:val="20"/>
              </w:rPr>
              <w:t xml:space="preserve"> </w:t>
            </w:r>
            <w:r>
              <w:rPr>
                <w:sz w:val="20"/>
              </w:rPr>
              <w:t>for the trailing 12 months ended June 30, 2026 were 318 (the trailing 12 months ended June 30, 2025: 285). In the six months ended June 30, 2026, the Group’s premium PaaS customers contributed approximately 89.9% (for the six months ended June 30, 2025: approximately 88.8%) of PaaS revenue.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left"/>
              <w:rPr>
                <w:sz w:val="20"/>
              </w:rPr>
            </w:pPr>
            <w:r>
              <w:rPr>
                <w:b/>
                <w:sz w:val="20"/>
              </w:rPr>
              <w:t xml:space="preserve">Registered AI developers (“registered developers”) </w:t>
            </w:r>
            <w:r>
              <w:rPr>
                <w:sz w:val="20"/>
              </w:rPr>
              <w:t>were over 2,092,000 as of June 30, 2026, up approximately 16.2% from over 1,801,000 developers as of December 31, 2025.</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sz w:val="20"/>
              </w:rPr>
            </w:pPr>
            <w:r>
              <w:rPr>
                <w:sz w:val="20"/>
              </w:rPr>
              <w:t>1.</w:t>
            </w:r>
          </w:p>
        </w:tc>
        <w:tc>
          <w:tcPr>
            <w:tcW w:w="10055" w:type="dxa"/>
            <w:tcBorders/>
            <w:vAlign w:val="center"/>
          </w:tcPr>
          <w:p>
            <w:pPr>
              <w:pStyle w:val="TableContents"/>
              <w:bidi w:val="0"/>
              <w:spacing w:before="0" w:after="283"/>
              <w:jc w:val="both"/>
              <w:rPr>
                <w:sz w:val="20"/>
              </w:rPr>
            </w:pPr>
            <w:r>
              <w:rPr>
                <w:sz w:val="20"/>
              </w:rPr>
              <w:t>Commencing from January 1, 2026, the Group renamed the revenue stream previously presented as Software-as-a-service (“</w:t>
            </w:r>
            <w:r>
              <w:rPr>
                <w:b/>
                <w:sz w:val="20"/>
              </w:rPr>
              <w:t>SaaS</w:t>
            </w:r>
            <w:r>
              <w:rPr>
                <w:sz w:val="20"/>
              </w:rPr>
              <w:t>”) and others to “AI application &amp; others” to better reflect the evolution of this business toward cloud-based software and value-added services incorporating AI application functions. The change in name did not affect the composition or recognition of revenue in this stream or the comparability of the Group’s historical financial information.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sz w:val="20"/>
              </w:rPr>
            </w:pPr>
            <w:r>
              <w:rPr>
                <w:sz w:val="20"/>
              </w:rPr>
              <w:t>2.</w:t>
            </w:r>
          </w:p>
        </w:tc>
        <w:tc>
          <w:tcPr>
            <w:tcW w:w="10053" w:type="dxa"/>
            <w:tcBorders/>
            <w:vAlign w:val="center"/>
          </w:tcPr>
          <w:p>
            <w:pPr>
              <w:pStyle w:val="TableContents"/>
              <w:bidi w:val="0"/>
              <w:spacing w:before="0" w:after="283"/>
              <w:jc w:val="both"/>
              <w:rPr>
                <w:sz w:val="20"/>
              </w:rPr>
            </w:pPr>
            <w:r>
              <w:rPr>
                <w:sz w:val="20"/>
              </w:rPr>
              <w:t>Commencing from January 1, 2026, the Group has renamed the revenue stream previously presented as “Smart solution” to “Smart home &amp; robot product.” to better reflect its business focus on finished smart home devices and robot-related products. The change in name did not affect the composition or recognition of revenue in this stream or the comparability of the Group’s historical financial information.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sz w:val="20"/>
              </w:rPr>
            </w:pPr>
            <w:r>
              <w:rPr>
                <w:sz w:val="20"/>
              </w:rPr>
              <w:t>3.</w:t>
            </w:r>
          </w:p>
        </w:tc>
        <w:tc>
          <w:tcPr>
            <w:tcW w:w="10027" w:type="dxa"/>
            <w:tcBorders/>
            <w:vAlign w:val="center"/>
          </w:tcPr>
          <w:p>
            <w:pPr>
              <w:pStyle w:val="TableContents"/>
              <w:bidi w:val="0"/>
              <w:spacing w:before="0" w:after="283"/>
              <w:jc w:val="both"/>
              <w:rPr>
                <w:sz w:val="20"/>
              </w:rPr>
            </w:pPr>
            <w:r>
              <w:rPr>
                <w:sz w:val="20"/>
              </w:rPr>
              <w:t>The Group defines an PaaS customer for a given period as a customer who has directly placed orders for PaaS with the Group during that period.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sz w:val="20"/>
              </w:rPr>
            </w:pPr>
            <w:r>
              <w:rPr>
                <w:sz w:val="20"/>
              </w:rPr>
              <w:t>4.</w:t>
            </w:r>
          </w:p>
        </w:tc>
        <w:tc>
          <w:tcPr>
            <w:tcW w:w="10037" w:type="dxa"/>
            <w:tcBorders/>
            <w:vAlign w:val="center"/>
          </w:tcPr>
          <w:p>
            <w:pPr>
              <w:pStyle w:val="TableContents"/>
              <w:bidi w:val="0"/>
              <w:spacing w:before="0" w:after="283"/>
              <w:jc w:val="both"/>
              <w:rPr>
                <w:sz w:val="20"/>
              </w:rPr>
            </w:pPr>
            <w:r>
              <w:rPr>
                <w:sz w:val="20"/>
              </w:rPr>
              <w:t>The Group defines a premium PaaS customer as a customer as of a given date that contributed more than US$100,000 of PaaS revenue during the immediately preceding 12-month period.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 increased by 12.3% to US$173.8 million in the six months ended June 30, 2026 from US$154.8 million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PaaS revenue increased by 13.5% to US$127.0 million in the six months ended June 30, 2026 from US$111.9 million in the same period of 2025, primarily due to increasing demand compared with the same period of 2025 and the Company’s strategic focus on customer needs and product enhancements.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AI application &amp; others revenue increased by 10.1% to US$23.2 million in the six months ended June 30, 2026 from US$21.0 million in the same period of 2025, primarily due to an increase in revenue from cloud based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Smart home &amp; robot product revenue increased by 8.1% to US$23.7 million in the six months ended June 30, 2026 from US$21.9 million in the same period of 2025, primarily attributable to growing customer demands.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 of revenue increased by 16.4% to US$92.9 million in the six months ended June 30, 2026 from US$79.8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gross profit increased by 7.9% to US$80.9 million in the six months ended June 30, 2026 from US$75.0 million in the same period of 2025 and gross margin decreased to 46.6% in the six months ended June 30, 2026 from 48.4% in the same period of 2025.</w:t>
      </w:r>
    </w:p>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1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00" w:type="dxa"/>
            <w:tcBorders/>
            <w:vAlign w:val="center"/>
          </w:tcPr>
          <w:p>
            <w:pPr>
              <w:pStyle w:val="TableContents"/>
              <w:bidi w:val="0"/>
              <w:spacing w:before="0" w:after="283"/>
              <w:jc w:val="left"/>
              <w:rPr>
                <w:sz w:val="20"/>
              </w:rPr>
            </w:pPr>
            <w:r>
              <w:rPr>
                <w:sz w:val="20"/>
              </w:rPr>
              <w:t>PaaS gross margin was 46.5% in the six months ended June 30, 2026, compared to 48.6%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AI application &amp; others gross margin was 71.8% in the six months ended June 30, 2026, compared to 73.2%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sz w:val="20"/>
              </w:rPr>
            </w:pPr>
            <w:r>
              <w:rPr>
                <w:sz w:val="20"/>
              </w:rPr>
              <w:t>Smart home &amp; robot product gross margin was 22.3% in the six months ended June 30, 2026, compared to 24.1% in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Gross margin fluctuated primarily due to changes in product and solution mix, as well as fluctuations in semiconductor supply-chain pricing. The Group remained focused on balancing product value, business growth and cost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expenses decreased by 14.9% to US$64.2 million in the six months ended June 30, 2026 from US$75.4 million in the same period of 2025. Non-GAAP operating expenses increased by 6.1% to US$63.2 million in the six months ended June 30, 2026 from US$59.6 million in the same period of 2025. For further information on the non-GAAP financial measures presented above, see the section headed “Use of Non-GAAP Financial Measures” in this announcement.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Research and development expenses were US$45.1 million in the six months ended June 30, 2026, down 0.2% from US$45.2 million in the same period of 2025, primarily due to (i) lower share-based compensation expenses of US$2.7 million as equity incentive awards granted at higher valuations in previous years have been gradually amortized, (ii) partially offset by higher employee-related cost and outsourced labor cost of US$2.5 million. Non-GAAP adjusted research and development expenses in the six months ended June 30, 2026 were US$44.4 million, compared to US$41.7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Sales and marketing expenses were US$15.7 million in the six months ended June 30, 2026, down 2.6% from US$16.2 million in the same period of 2025, primarily because of (i) lower share-based compensation expenses of US$1.2 million as equity incentive awards granted at higher valuations in previous years have been gradually amortized, (ii) partially offset by higher employee-related cost of US$0.8 million. Non-GAAP adjusted sales and marketing expenses in the six months ended June 30, 2026 were US$15.6 million, compared to US$14.9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General and administrative expenses were US$9.0 million in the six months ended June 30, 2026, down 50.7% from US$18.3 million in the same period of 2025, primarily due to lower share-based compensation expenses of US$10.6 million as equity incentive awards granted at higher valuations in previous years have been gradually amortized. Non-GAAP adjusted general and administrative expenses in the six months ended June 30, 2026 were US$9.0 million, compared to US$7.3 million in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z w:val="20"/>
              </w:rPr>
            </w:pPr>
            <w:r>
              <w:rPr>
                <w:sz w:val="20"/>
              </w:rPr>
              <w:t>Other operating incomes, net were US$5.7 million in the six months ended June 30, 2026, primarily due to receipts of software value-added tax refund.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Loss/profit from operations and operating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Profit from operations was US$16.8 million in the six months ended June 30, 2026, compared to a loss from operations of US$0.4 million in the same period of 2025. Non-GAAP profit from operations was US$17.7 million in the six months ended June 30, 2026, increased by 14.8% compared to a non-GAAP profit from operations of US$15.4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margin was 9.7% in the six months ended June 30, 2026, up 9.9 percentage points from negative 0.2% in the same period of 2025. Non-GAAP operating margin was 10.2% in the six months ended June 30, 2026, up 0.2 percentage points from 10.0%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Net profit and net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profit was US$34.4 million in the six months ended June 30, 2026, increased by 45.8% from US$23.6 million in the same period of 2025. Non-GAAP net profit was US$35.3 million in the six months ended June 30, 2026, compared to US$39.4 million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margin was 19.8% in the six months ended June 30, 2026, up 4.6 percentage points from 15.2% in the same period of 2025, and non-GAAP net margin was 20.3% in the six months ended June 30, 2026, compared to 25.4%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Basic and diluted net profit per American Depositary Share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and diluted net profit per ADS were US$0.06 in the six months ended June 30, 2026, compared to US$0.04 in the same period of 2025. Each ADS represents one Class A ordinary share of the Company (the “</w:t>
      </w:r>
      <w:r>
        <w:rPr>
          <w:rFonts w:ascii="Times New Roman;Times;Serif" w:hAnsi="Times New Roman;Times;Serif"/>
          <w:b/>
          <w:i w:val="false"/>
          <w:caps w:val="false"/>
          <w:smallCaps w:val="false"/>
          <w:color w:val="231F20"/>
          <w:sz w:val="20"/>
        </w:rPr>
        <w:t>Class A Ordinary Share(s)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Non-GAAP basic and diluted net profit per ADS in the six months ended June 30, 2026 were US$0.06, compared to US$0.06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Cash and cash equivalents, time deposits and treasury securities recorded as short-term and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Cash and cash equivalents, time deposits and treasury securities recorded as short-term and long-term investments were US$976.1 million as of June 30, 2026, compared to US$1,017.3 million as of December 31, 2025, decreased mainly due to payment of cash dividends. The Company believes its current cash position is sufficient to meet its current liquidity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Net cash generated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generated from operating activities was US$12.6 million in the six months ended June 30, 2026, compared to US$27.5 million of net cash generated from operating activities in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further information on non-GAAP financial measures discussed above, see the section headed “</w:t>
      </w:r>
      <w:r>
        <w:rPr>
          <w:rFonts w:ascii="Times New Roman;Times;Serif" w:hAnsi="Times New Roman;Times;Serif"/>
          <w:b w:val="false"/>
          <w:i/>
          <w:caps w:val="false"/>
          <w:smallCaps w:val="false"/>
          <w:color w:val="231F20"/>
          <w:sz w:val="20"/>
        </w:rPr>
        <w:t>Use of Non-GAAP Financial Measures”</w:t>
      </w:r>
      <w:r>
        <w:rPr>
          <w:rFonts w:ascii="Times New Roman;Times;Serif" w:hAnsi="Times New Roman;Times;Serif"/>
          <w:b w:val="false"/>
          <w:i w:val="false"/>
          <w:caps w:val="false"/>
          <w:smallCaps w:val="false"/>
          <w:color w:val="231F2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BUSINESS REVIEW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Business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PaaS customers for the six months ended June 30, 2026 were approximately 2,700. Total customers for the six months ended June 30, 2026 were approximately 4,000. The Group defines a PaaS customer for a given period as a customer who has directly placed orders for PaaS with the Group during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Premium PaaS customers for the trailing 12 months ended June 30, 2026 were 318. In the six months ended June 30, 2026, the Group’s premium PaaS customers contributed approximately 89.9% of PaaS revenue. The Group defines a premium PaaS customer as a customer as of a given date that contributed more than US$100,000 of PaaS revenue during the immediately preceding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DBNER of PaaS for the trailing 12 months ended June 30, 2026 was 100%. The Group calculates DBNER of PaaS for a trailing 12-month period by first identifying all customers in the prior 12-month period (i.e., those have placed at least one order for PaaS during that period), and then calculating the quotient from dividing the PaaS revenue generated from such customers in the current trailing 12-month period by the PaaS revenue generated from the same group of customers in the prior 12-month period. The Group’s DBNER may change from period to period, due to a combination of various factors, including changes in the customers’ purchase cycles and amounts and the Group’s customer mix, among other things. DBNER indicates the Group’s ability to expand customer use of its platform over time and generate revenue growth from existing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Registered AI developers, or registered developers, were over 2,092,000 as of June 30, 2026, up 16.2% from over 1,801,000 developers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During the Reporting Period, the Group continued to broaden the application of its PaaS across established categories such as home appliances and smart access, while expanding into emerging AI-enabled companion, electrical and energy-related use cases. These developments demonstrated the Group’s ability to support both the ongoing intelligent upgrade of existing product categories and the development of new AI-enabled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the second quarter, the Group launched Tuya Cobuilder, a Vibe Coding-based development workspace for AI hardware. Tuya Cobuilder enables developers to use natural-language interaction to complete product definition, generate device panels, embedded firmware and AI Agents, and proceed to physical-device flashing and debugging. The launch further integrated the development workflow from product concept and software generation to functioning-device deployment, helping developers shorten the development cycle for AI hardware.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overall operating environment remains complex, while continuing to show signs of normalization. Participants across the value chain – including manufacturers, brands, and channel partners – are maintaining a cautiously optimistic to planning. At the same time, the Group has observed more normalized project execution and continued demand recovery across several of its core categories, suggesting that the market is gradually moving from adjustment toward a more stable operating rhythm.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Meanwhile, global AI development is entering a new stage of application-led growth. As AI technologies continue to evolve from foundational capabilities toward real-world deployment, enterprises and consumers are increasingly focused on practical use cases, scalable implementation, and scenario-based integration with physical devices. This trend is accelerating the convergence of AI and smart hardware, and is creating new opportunities for application innovation, product expansion, and ecosystem collaboration across a wide range of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Against this backdrop, Tuya continues to advance its AI-driven strategy by strengthening its AI developer platform, expanding application-level capabilities, and supporting broader deployment across diverse smart device and industry scenarios. The ongoing evolution of AI applications, together with its platform capabilities, ecosystem strengths, and global developer base, will continue to support the creation of diversified, higher-value opportunities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this environment, the Company will continue to maintain disciplined execution while selectively investing in AI-driven applications, platform capabilities, and ecosystem development. The Group will continue to improve its products and services, enhance both software and hardware capabilities, and support customers and developers in bringing AI-driven applications into practical deployment. At the same time, the Company recognizes that its future trajectory may continue to be influenced by a range of external factors, including shifts in consumer demand, regional economic divergence, inventory dynamics, foreign exchange and interest rate volatility, tariffs and trade policy adjustments, and broader geopolitical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MANAGEMENT DISCUSSION AND ANALYSIS</w:t>
      </w:r>
    </w:p>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2675" w:type="dxa"/>
            <w:tcBorders/>
            <w:vAlign w:val="center"/>
          </w:tcPr>
          <w:p>
            <w:pPr>
              <w:pStyle w:val="TableContents"/>
              <w:bidi w:val="0"/>
              <w:spacing w:before="0" w:after="283"/>
              <w:jc w:val="left"/>
              <w:rPr>
                <w:b/>
                <w:sz w:val="20"/>
              </w:rPr>
            </w:pPr>
            <w:r>
              <w:rPr>
                <w:b/>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recorded net profits of US$34.4 million for the six months ended June 30, 2026, compared to net profits of US$23.6 million in the same period of 2025. Accumulated deficit amounted to US$477.6 million as of June 30, 2026. The Group achieved a net cash generated from operating activities of US$12.6 million for the six months ended June 30, 2026, compared to a net cash generated from operating activities of US$27.5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liquidity is based on its ability to enhance its operating cash flow position, obtain capital financing from equity interest investors to fund its general operations, research and development activities and capital expenditures. The Group’s ability to continue as a going concern is dependent on management’s ability to execute its business plan successfully, which includes increasing market acceptance of its products to boost sales volume to achieve economies of scale or strengthen its technology capabilities to provide advanced products with higher value proposition while applying more effective marketing strategies and cost control measures to better manage operating cash flow position and obtaining funds from outside sources of financing to generate positive financing cash flows. In March and April 2021, with the completion of its initial public offering on the New York Stock Exchange and the exercise of the over-allotment option by underwriters, the Company received net proceeds, after deducting the underwriting discounts and commissions, fees and offering expenses, of US$904.7 million. On July 5, 2022, the Class A Ordinary Shares were listed on the Main Board of the Stock Exchange of Hong Kong Limited (the “</w:t>
      </w:r>
      <w:r>
        <w:rPr>
          <w:rFonts w:ascii="Times New Roman;Times;Serif" w:hAnsi="Times New Roman;Times;Serif"/>
          <w:b/>
          <w:i w:val="false"/>
          <w:caps w:val="false"/>
          <w:smallCaps w:val="false"/>
          <w:color w:val="231F20"/>
          <w:sz w:val="20"/>
        </w:rPr>
        <w:t>Hong Kong Stock Exchange</w:t>
      </w:r>
      <w:r>
        <w:rPr>
          <w:rFonts w:ascii="Times New Roman;Times;Serif" w:hAnsi="Times New Roman;Times;Serif"/>
          <w:b w:val="false"/>
          <w:i w:val="false"/>
          <w:caps w:val="false"/>
          <w:smallCaps w:val="false"/>
          <w:color w:val="231F20"/>
          <w:sz w:val="20"/>
        </w:rPr>
        <w:t>”) (the “</w:t>
      </w:r>
      <w:r>
        <w:rPr>
          <w:rFonts w:ascii="Times New Roman;Times;Serif" w:hAnsi="Times New Roman;Times;Serif"/>
          <w:b/>
          <w:i w:val="false"/>
          <w:caps w:val="false"/>
          <w:smallCaps w:val="false"/>
          <w:color w:val="231F20"/>
          <w:sz w:val="20"/>
        </w:rPr>
        <w:t>Listing</w:t>
      </w:r>
      <w:r>
        <w:rPr>
          <w:rFonts w:ascii="Times New Roman;Times;Serif" w:hAnsi="Times New Roman;Times;Serif"/>
          <w:b w:val="false"/>
          <w:i w:val="false"/>
          <w:caps w:val="false"/>
          <w:smallCaps w:val="false"/>
          <w:color w:val="231F20"/>
          <w:sz w:val="20"/>
        </w:rPr>
        <w:t>”). In connection with the Listing, 7,300,000 new Class A Ordinary Shares were issued and allotted at the offer price of HK$19.3 per Class A Ordinary Share. Net proceeds from the global offering, after deducting the underwriting fees and commissions, were approximately HK$70.0 million (the “</w:t>
      </w:r>
      <w:r>
        <w:rPr>
          <w:rFonts w:ascii="Times New Roman;Times;Serif" w:hAnsi="Times New Roman;Times;Serif"/>
          <w:b/>
          <w:i w:val="false"/>
          <w:caps w:val="false"/>
          <w:smallCaps w:val="false"/>
          <w:color w:val="231F20"/>
          <w:sz w:val="20"/>
        </w:rPr>
        <w:t>Global Offering Net Proceeds</w:t>
      </w:r>
      <w:r>
        <w:rPr>
          <w:rFonts w:ascii="Times New Roman;Times;Serif" w:hAnsi="Times New Roman;Times;Serif"/>
          <w:b w:val="false"/>
          <w:i w:val="false"/>
          <w:caps w:val="false"/>
          <w:smallCaps w:val="false"/>
          <w:color w:val="231F20"/>
          <w:sz w:val="20"/>
        </w:rPr>
        <w:t>”), and no over-allotment option was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balance of cash and cash equivalents, time deposits and treasury securities recorded as short-term and long-term investments were US$976.1 million, compared to US$1,017.3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2.</w:t>
            </w:r>
          </w:p>
        </w:tc>
        <w:tc>
          <w:tcPr>
            <w:tcW w:w="3740" w:type="dxa"/>
            <w:tcBorders/>
            <w:vAlign w:val="center"/>
          </w:tcPr>
          <w:p>
            <w:pPr>
              <w:pStyle w:val="TableContents"/>
              <w:bidi w:val="0"/>
              <w:spacing w:before="0" w:after="283"/>
              <w:jc w:val="left"/>
              <w:rPr>
                <w:b/>
                <w:sz w:val="20"/>
              </w:rPr>
            </w:pPr>
            <w:r>
              <w:rPr>
                <w:b/>
                <w:sz w:val="20"/>
              </w:rPr>
              <w:t>Interest-bearing bank and other 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interest-bearing bank or other borrowings.</w:t>
      </w:r>
    </w:p>
    <w:p>
      <w:pPr>
        <w:pStyle w:val="TextBody"/>
        <w:bidi w:val="0"/>
        <w:spacing w:before="0" w:after="0"/>
        <w:ind w:left="0"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17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3.</w:t>
            </w:r>
          </w:p>
        </w:tc>
        <w:tc>
          <w:tcPr>
            <w:tcW w:w="1340" w:type="dxa"/>
            <w:tcBorders/>
            <w:vAlign w:val="center"/>
          </w:tcPr>
          <w:p>
            <w:pPr>
              <w:pStyle w:val="TableContents"/>
              <w:bidi w:val="0"/>
              <w:spacing w:before="0" w:after="283"/>
              <w:jc w:val="left"/>
              <w:rPr>
                <w:b/>
                <w:sz w:val="20"/>
              </w:rPr>
            </w:pPr>
            <w:r>
              <w:rPr>
                <w:b/>
                <w:sz w:val="20"/>
              </w:rPr>
              <w:t>Pledge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pledge of assets.</w:t>
      </w:r>
    </w:p>
    <w:p>
      <w:pPr>
        <w:pStyle w:val="TextBody"/>
        <w:bidi w:val="0"/>
        <w:spacing w:before="0" w:after="0"/>
        <w:ind w:left="0" w:right="0" w:hanging="0"/>
        <w:jc w:val="left"/>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170"/>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4.</w:t>
            </w:r>
          </w:p>
        </w:tc>
        <w:tc>
          <w:tcPr>
            <w:tcW w:w="1205" w:type="dxa"/>
            <w:tcBorders/>
            <w:vAlign w:val="center"/>
          </w:tcPr>
          <w:p>
            <w:pPr>
              <w:pStyle w:val="TableContents"/>
              <w:bidi w:val="0"/>
              <w:spacing w:before="0" w:after="283"/>
              <w:jc w:val="left"/>
              <w:rPr>
                <w:b/>
                <w:sz w:val="20"/>
              </w:rPr>
            </w:pPr>
            <w:r>
              <w:rPr>
                <w:b/>
                <w:sz w:val="20"/>
              </w:rPr>
              <w:t>Gearing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Gearing ratio equals total debt divided by total equity as of the end of the period. Total debt is defined to include short-term borrowings, current portion of long-term borrowings and long-term borrowings which are all interest-bearing borrowings. As of June 30, 2026, the gearing ratio of the Group was nil as the Group had no borrowings (as of December 31, 2025: nil).</w:t>
      </w:r>
    </w:p>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17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5.</w:t>
            </w:r>
          </w:p>
        </w:tc>
        <w:tc>
          <w:tcPr>
            <w:tcW w:w="1820" w:type="dxa"/>
            <w:tcBorders/>
            <w:vAlign w:val="center"/>
          </w:tcPr>
          <w:p>
            <w:pPr>
              <w:pStyle w:val="TableContents"/>
              <w:bidi w:val="0"/>
              <w:spacing w:before="0" w:after="283"/>
              <w:jc w:val="left"/>
              <w:rPr>
                <w:b/>
                <w:sz w:val="20"/>
              </w:rPr>
            </w:pPr>
            <w:r>
              <w:rPr>
                <w:b/>
                <w:sz w:val="20"/>
              </w:rPr>
              <w:t>Material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the six months ended June 30, 2026, the Group did not have any significant investments (including any investment in an investee company with a value of 5% or more of the Group’s total assets as of June 30, 2026) save and except for (i) time deposits of US$89.2 million presented as short-term investment according to the applicable accounting standards; and (ii) treasury securities of US$15.2 million as referred to below. As of June 30, 2026, the Group did not have other plans for material investments and capital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Acquisition(s) of 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Reference is made to the circular (the “</w:t>
      </w:r>
      <w:r>
        <w:rPr>
          <w:rFonts w:ascii="Times New Roman;Times;Serif" w:hAnsi="Times New Roman;Times;Serif"/>
          <w:b/>
          <w:i w:val="false"/>
          <w:caps w:val="false"/>
          <w:smallCaps w:val="false"/>
          <w:color w:val="231F20"/>
          <w:sz w:val="20"/>
        </w:rPr>
        <w:t>Circular</w:t>
      </w:r>
      <w:r>
        <w:rPr>
          <w:rFonts w:ascii="Times New Roman;Times;Serif" w:hAnsi="Times New Roman;Times;Serif"/>
          <w:b w:val="false"/>
          <w:i w:val="false"/>
          <w:caps w:val="false"/>
          <w:smallCaps w:val="false"/>
          <w:color w:val="231F20"/>
          <w:sz w:val="20"/>
        </w:rPr>
        <w:t>”) of the Company dated May 21, 2024. The Group acquired treasury securities for the six months ended June 30, 2025 and proposed to conduct potential acquisition(s) of treasury securities subject to the maximum acquisition amount of US$400,000,000 in the open market through reputable licensed banks or securities brokerage firms during the relevant mandate period (as specified in the Circular), which has been approved by the shareholders of the Company at its annual general meeting held on June 20, 2024. For details, please refer to the Circular.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acquire any treasury securities during the reporting period. As at the date of this announcement, the Group held treasury securities under such mandate at an aggregate outstanding balance of approximately US$15.2 million. Save as aforementioned, the Group did not acquire any other treasury securities as at the date of this announcement.</w:t>
      </w:r>
    </w:p>
    <w:p>
      <w:pPr>
        <w:pStyle w:val="TextBody"/>
        <w:bidi w:val="0"/>
        <w:spacing w:before="0" w:after="0"/>
        <w:ind w:left="0" w:right="0" w:hanging="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6.</w:t>
            </w:r>
          </w:p>
        </w:tc>
        <w:tc>
          <w:tcPr>
            <w:tcW w:w="2900" w:type="dxa"/>
            <w:tcBorders/>
            <w:vAlign w:val="center"/>
          </w:tcPr>
          <w:p>
            <w:pPr>
              <w:pStyle w:val="TableContents"/>
              <w:bidi w:val="0"/>
              <w:spacing w:before="0" w:after="283"/>
              <w:jc w:val="left"/>
              <w:rPr>
                <w:b/>
                <w:sz w:val="20"/>
              </w:rPr>
            </w:pPr>
            <w:r>
              <w:rPr>
                <w:b/>
                <w:sz w:val="20"/>
              </w:rPr>
              <w:t>Capital expenditure 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Group’s capital expenditure commitments amounted to US$43.6 million, primarily related to the construction of office buildings. The Group plans to rely on a combination of operating cash flows, and capital financing from equity interest investors to meet the capital commitments.</w:t>
      </w:r>
    </w:p>
    <w:p>
      <w:pPr>
        <w:pStyle w:val="TextBody"/>
        <w:bidi w:val="0"/>
        <w:spacing w:before="0" w:after="0"/>
        <w:ind w:left="0" w:right="0" w:hanging="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7.</w:t>
            </w:r>
          </w:p>
        </w:tc>
        <w:tc>
          <w:tcPr>
            <w:tcW w:w="1805" w:type="dxa"/>
            <w:tcBorders/>
            <w:vAlign w:val="center"/>
          </w:tcPr>
          <w:p>
            <w:pPr>
              <w:pStyle w:val="TableContents"/>
              <w:bidi w:val="0"/>
              <w:spacing w:before="0" w:after="283"/>
              <w:jc w:val="left"/>
              <w:rPr>
                <w:b/>
                <w:sz w:val="20"/>
              </w:rPr>
            </w:pPr>
            <w:r>
              <w:rPr>
                <w:b/>
                <w:sz w:val="20"/>
              </w:rPr>
              <w:t>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 June 30, 2026, the Group did not have any material contingent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8.</w:t>
            </w:r>
          </w:p>
        </w:tc>
        <w:tc>
          <w:tcPr>
            <w:tcW w:w="3005" w:type="dxa"/>
            <w:tcBorders/>
            <w:vAlign w:val="center"/>
          </w:tcPr>
          <w:p>
            <w:pPr>
              <w:pStyle w:val="TableContents"/>
              <w:bidi w:val="0"/>
              <w:spacing w:before="0" w:after="283"/>
              <w:jc w:val="left"/>
              <w:rPr>
                <w:b/>
                <w:sz w:val="20"/>
              </w:rPr>
            </w:pPr>
            <w:r>
              <w:rPr>
                <w:b/>
                <w:sz w:val="20"/>
              </w:rPr>
              <w:t>Material acquisitions and disposals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did not conduct any material acquisitions and disposals during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9.</w:t>
            </w:r>
          </w:p>
        </w:tc>
        <w:tc>
          <w:tcPr>
            <w:tcW w:w="1550" w:type="dxa"/>
            <w:tcBorders/>
            <w:vAlign w:val="center"/>
          </w:tcPr>
          <w:p>
            <w:pPr>
              <w:pStyle w:val="TableContents"/>
              <w:bidi w:val="0"/>
              <w:spacing w:before="0" w:after="283"/>
              <w:jc w:val="left"/>
              <w:rPr>
                <w:b/>
                <w:sz w:val="20"/>
              </w:rPr>
            </w:pPr>
            <w:r>
              <w:rPr>
                <w:b/>
                <w:sz w:val="20"/>
              </w:rPr>
              <w:t>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revenue of the Group is predominantly denominated in Renminbi (“</w:t>
      </w:r>
      <w:r>
        <w:rPr>
          <w:rFonts w:ascii="Times New Roman;Times;Serif" w:hAnsi="Times New Roman;Times;Serif"/>
          <w:b/>
          <w:i w:val="false"/>
          <w:caps w:val="false"/>
          <w:smallCaps w:val="false"/>
          <w:color w:val="231F20"/>
          <w:sz w:val="20"/>
        </w:rPr>
        <w:t>RMB</w:t>
      </w:r>
      <w:r>
        <w:rPr>
          <w:rFonts w:ascii="Times New Roman;Times;Serif" w:hAnsi="Times New Roman;Times;Serif"/>
          <w:b w:val="false"/>
          <w:i w:val="false"/>
          <w:caps w:val="false"/>
          <w:smallCaps w:val="false"/>
          <w:color w:val="231F20"/>
          <w:sz w:val="20"/>
        </w:rPr>
        <w:t>”) and a substantial portion of the Group’s expenses is also denominated in RMB. The Group uses United States dollar as its reporting currency. The functional currency of the Company and its subsidiaries incorporated in Cayman Islands and Hong Kong is the United States dollar, while the functional currency of the Group’s other subsidiaries and consolidated affiliated entities is their respective local currency as determined based on the criteria of ASC 830, Foreign Currency Matters. The financial statements of its subsidiaries and consolidated affiliated entities using functional currencies other than U.S. dollar, such as RMB, are translated to the U.S. dollar. As a result, as RMB depreciates or appreciates against the U.S. dollar, the Group’s revenue presented in U.S. dollar will be negatively or positively affected. The Group does not believe that it currently has any significant direct foreign exchange risk arising from its operating activities. As of June 30, 2026, the Group did not hold any financial instruments for hedging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exposure to interest rate risk primarily relates to the interest income generated by excess cash, which is mostly held in interest-bearing bank deposits. The Group has not used any derivative financial instruments to manage its interest risk exposure. Interest-earning instruments carry a degree of interest rate risk. The Group has not been exposed, nor does the Group anticipate being exposed, to material risks due to changes in interest rates. However, the Group’s future interest income may be lower than expected due to changes in market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75"/>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sz w:val="20"/>
              </w:rPr>
            </w:pPr>
            <w:r>
              <w:rPr>
                <w:b/>
                <w:sz w:val="20"/>
              </w:rPr>
              <w:t>10.</w:t>
            </w:r>
          </w:p>
        </w:tc>
        <w:tc>
          <w:tcPr>
            <w:tcW w:w="3230" w:type="dxa"/>
            <w:tcBorders/>
            <w:vAlign w:val="center"/>
          </w:tcPr>
          <w:p>
            <w:pPr>
              <w:pStyle w:val="TableContents"/>
              <w:bidi w:val="0"/>
              <w:spacing w:before="0" w:after="283"/>
              <w:jc w:val="left"/>
              <w:rPr>
                <w:b/>
                <w:sz w:val="20"/>
              </w:rPr>
            </w:pPr>
            <w:r>
              <w:rPr>
                <w:b/>
                <w:sz w:val="20"/>
              </w:rPr>
              <w:t>Employees and remuneration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following table sets forth the breakdown of the Group’s salaried employees by function as of June 30,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3155"/>
        <w:gridCol w:w="60"/>
        <w:gridCol w:w="104"/>
        <w:gridCol w:w="846"/>
        <w:gridCol w:w="75"/>
      </w:tblGrid>
      <w:tr>
        <w:trPr/>
        <w:tc>
          <w:tcPr>
            <w:tcW w:w="31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Function</w:t>
            </w:r>
          </w:p>
        </w:tc>
        <w:tc>
          <w:tcPr>
            <w:tcW w:w="60"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Number of</w:t>
              <w:br/>
              <w:t>Employees</w:t>
            </w:r>
          </w:p>
        </w:tc>
        <w:tc>
          <w:tcPr>
            <w:tcW w:w="75" w:type="dxa"/>
            <w:tcBorders/>
            <w:tcMar>
              <w:bottom w:w="0"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846" w:type="dxa"/>
            <w:tcBorders/>
            <w:shd w:fill="CCEEFF" w:val="clear"/>
            <w:tcMar>
              <w:bottom w:w="0" w:type="dxa"/>
            </w:tcMar>
            <w:vAlign w:val="center"/>
          </w:tcPr>
          <w:p>
            <w:pPr>
              <w:pStyle w:val="TableContents"/>
              <w:bidi w:val="0"/>
              <w:spacing w:before="0" w:after="283"/>
              <w:jc w:val="right"/>
              <w:rPr>
                <w:sz w:val="20"/>
              </w:rPr>
            </w:pPr>
            <w:r>
              <w:rPr>
                <w:sz w:val="20"/>
              </w:rPr>
              <w:t>1,037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6" w:type="dxa"/>
            <w:tcBorders/>
            <w:shd w:fill="FFFFFF" w:val="clear"/>
            <w:tcMar>
              <w:bottom w:w="0" w:type="dxa"/>
            </w:tcMar>
            <w:vAlign w:val="center"/>
          </w:tcPr>
          <w:p>
            <w:pPr>
              <w:pStyle w:val="TableContents"/>
              <w:bidi w:val="0"/>
              <w:spacing w:before="0" w:after="283"/>
              <w:jc w:val="right"/>
              <w:rPr>
                <w:sz w:val="20"/>
              </w:rPr>
            </w:pPr>
            <w:r>
              <w:rPr>
                <w:sz w:val="20"/>
              </w:rPr>
              <w:t>289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and administrative,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single" w:sz="8" w:space="0" w:color="000000"/>
            </w:tcBorders>
            <w:shd w:fill="CCEEFF" w:val="clear"/>
            <w:vAlign w:val="center"/>
          </w:tcPr>
          <w:p>
            <w:pPr>
              <w:pStyle w:val="TableContents"/>
              <w:bidi w:val="0"/>
              <w:spacing w:before="0" w:after="283"/>
              <w:jc w:val="left"/>
              <w:rPr/>
            </w:pPr>
            <w:r>
              <w:rPr/>
              <w:t> </w:t>
            </w:r>
          </w:p>
        </w:tc>
        <w:tc>
          <w:tcPr>
            <w:tcW w:w="846" w:type="dxa"/>
            <w:tcBorders>
              <w:bottom w:val="single" w:sz="8" w:space="0" w:color="000000"/>
            </w:tcBorders>
            <w:shd w:fill="CCEEFF" w:val="clear"/>
            <w:vAlign w:val="center"/>
          </w:tcPr>
          <w:p>
            <w:pPr>
              <w:pStyle w:val="TableContents"/>
              <w:bidi w:val="0"/>
              <w:spacing w:before="0" w:after="283"/>
              <w:jc w:val="right"/>
              <w:rPr>
                <w:sz w:val="20"/>
              </w:rPr>
            </w:pPr>
            <w:r>
              <w:rPr>
                <w:sz w:val="20"/>
              </w:rPr>
              <w:t>127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84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bottom w:val="double" w:sz="6" w:space="0" w:color="000000"/>
            </w:tcBorders>
            <w:shd w:fill="CCEEFF" w:val="clear"/>
            <w:vAlign w:val="center"/>
          </w:tcPr>
          <w:p>
            <w:pPr>
              <w:pStyle w:val="TableContents"/>
              <w:bidi w:val="0"/>
              <w:spacing w:before="0" w:after="283"/>
              <w:jc w:val="left"/>
              <w:rPr/>
            </w:pPr>
            <w:r>
              <w:rPr/>
              <w:t> </w:t>
            </w:r>
          </w:p>
        </w:tc>
        <w:tc>
          <w:tcPr>
            <w:tcW w:w="846" w:type="dxa"/>
            <w:tcBorders>
              <w:bottom w:val="double" w:sz="6" w:space="0" w:color="000000"/>
            </w:tcBorders>
            <w:shd w:fill="CCEEFF" w:val="clear"/>
            <w:vAlign w:val="center"/>
          </w:tcPr>
          <w:p>
            <w:pPr>
              <w:pStyle w:val="TableContents"/>
              <w:bidi w:val="0"/>
              <w:spacing w:before="0" w:after="283"/>
              <w:jc w:val="right"/>
              <w:rPr>
                <w:sz w:val="20"/>
              </w:rPr>
            </w:pPr>
            <w:r>
              <w:rPr>
                <w:sz w:val="20"/>
              </w:rPr>
              <w:t>1,453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primarily recruits the employees by its recruitment specialists at human resources department through referrals and online channels, including the Company’s corporate website and social networking platforms. The Group has adopted a series of training policies and tailor-made lessons, pursuant to which technology, corporate culture, leadership, and other trainings are regularly provided to the Group’s employees by internal speakers and third-party consultants. The Group offers its employees competitive compensation packages and a dynamic work environment that encourages initiative. The Group participates in various government statutory employee benefit plans, including social insurance, namely pension insurance, medical insurance, unemployment insurance, work-related injury insurance and maternity insurance, and housing funds. In addition, the Group participates in a supplemental employee commercial healthcare insurance program, aiming to promote healthy work and healthy life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directors (the “</w:t>
      </w:r>
      <w:r>
        <w:rPr>
          <w:rFonts w:ascii="Times New Roman;Times;Serif" w:hAnsi="Times New Roman;Times;Serif"/>
          <w:b/>
          <w:i w:val="false"/>
          <w:caps w:val="false"/>
          <w:smallCaps w:val="false"/>
          <w:color w:val="231F20"/>
          <w:sz w:val="20"/>
        </w:rPr>
        <w:t>Directors</w:t>
      </w:r>
      <w:r>
        <w:rPr>
          <w:rFonts w:ascii="Times New Roman;Times;Serif" w:hAnsi="Times New Roman;Times;Serif"/>
          <w:b w:val="false"/>
          <w:i w:val="false"/>
          <w:caps w:val="false"/>
          <w:smallCaps w:val="false"/>
          <w:color w:val="231F20"/>
          <w:sz w:val="20"/>
        </w:rPr>
        <w:t>” and each, a “</w:t>
      </w:r>
      <w:r>
        <w:rPr>
          <w:rFonts w:ascii="Times New Roman;Times;Serif" w:hAnsi="Times New Roman;Times;Serif"/>
          <w:b/>
          <w:i w:val="false"/>
          <w:caps w:val="false"/>
          <w:smallCaps w:val="false"/>
          <w:color w:val="231F20"/>
          <w:sz w:val="20"/>
        </w:rPr>
        <w:t>Director</w:t>
      </w:r>
      <w:r>
        <w:rPr>
          <w:rFonts w:ascii="Times New Roman;Times;Serif" w:hAnsi="Times New Roman;Times;Serif"/>
          <w:b w:val="false"/>
          <w:i w:val="false"/>
          <w:caps w:val="false"/>
          <w:smallCaps w:val="false"/>
          <w:color w:val="231F20"/>
          <w:sz w:val="20"/>
        </w:rPr>
        <w:t>”) of the Company is committed to achieving high corporate governance standards. The Board believes that high corporate governance standards are essential in providing a framework for the Company to safeguard the interests of shareholders and to enhance corporate value and accountability.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Compliance with the Corporate Governance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 the six months ended June 30, 2026, the Company has complied with all the code provisions of the Corporate Governance Code set forth in Appendix C1 to the Rules Governing the Listing of Securities on The Stock Exchange of Hong Kong Limited (the “</w:t>
      </w:r>
      <w:r>
        <w:rPr>
          <w:rFonts w:ascii="Times New Roman;Times;Serif" w:hAnsi="Times New Roman;Times;Serif"/>
          <w:b/>
          <w:i w:val="false"/>
          <w:caps w:val="false"/>
          <w:smallCaps w:val="false"/>
          <w:color w:val="231F20"/>
          <w:sz w:val="20"/>
        </w:rPr>
        <w:t>Listing Rules</w:t>
      </w:r>
      <w:r>
        <w:rPr>
          <w:rFonts w:ascii="Times New Roman;Times;Serif" w:hAnsi="Times New Roman;Times;Serif"/>
          <w:b w:val="false"/>
          <w:i w:val="false"/>
          <w:caps w:val="false"/>
          <w:smallCaps w:val="false"/>
          <w:color w:val="231F20"/>
          <w:sz w:val="20"/>
        </w:rPr>
        <w:t>”), save and except for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Pursuant to code provision C.2.1 of the Corporate Governance Code, companies listed on the Hong Kong Stock Exchange are expected to comply with, but may choose to deviate from the requirement that the responsibilities between the chairman and the chief executive officer should be separate and should not be performed by the same individual. The Company deviates from this code provision because Mr. WANG Xueji (“</w:t>
      </w:r>
      <w:r>
        <w:rPr>
          <w:rFonts w:ascii="Times New Roman;Times;Serif" w:hAnsi="Times New Roman;Times;Serif"/>
          <w:b/>
          <w:i w:val="false"/>
          <w:caps w:val="false"/>
          <w:smallCaps w:val="false"/>
          <w:color w:val="231F20"/>
          <w:sz w:val="20"/>
        </w:rPr>
        <w:t>Mr. Wang</w:t>
      </w:r>
      <w:r>
        <w:rPr>
          <w:rFonts w:ascii="Times New Roman;Times;Serif" w:hAnsi="Times New Roman;Times;Serif"/>
          <w:b w:val="false"/>
          <w:i w:val="false"/>
          <w:caps w:val="false"/>
          <w:smallCaps w:val="false"/>
          <w:color w:val="231F20"/>
          <w:sz w:val="20"/>
        </w:rPr>
        <w:t>”) performs both the roles of a co-chairman of the Board and the chief executive officer of the Company. Mr. Wang is a founder of the Group and has extensive experience in the business operations and management of the Group. The Board believes that, in view of Mr. Wang’s experience, personal profile and his roles in the Company as mentioned above, Mr. Wang is the Director best suited to identify strategic opportunities, ensure the consistent leadership within the Company, and focus on the Board due to his extensive understanding of the Company’s business as the chief executive officer of the Company. The Board also believes that the combined roles of both chairman and chief executive officer can promote the effective execution of strategic initiatives and facilitate the flow of information between management and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considers that the balance of power and authority will not be impaired due to this arrangement. The reasons are: (i) all major decisions are made in consultation with members of the Board, including the relevant Board committees, and four independent non-executive Directors; (ii) Mr. Wang and the other Directors acknowledge and undertake to fulfil their fiduciary duties as directors, which require them, among other things, to act in the interests of the Company in a manner that is in the best interests of the Company and to make decisions for the Group accordingly; and (iii) the Board is made up of experienced and talented people who meet regularly to discuss matters affecting the operations of the Company to ensure a balance of power and authority. In addition, the Group’s overall strategic and other major businesses, financial and operational policies have been formulated jointly by the Board and senior management after detailed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will continue to review and may recommend separating the roles of chairman of the Board and the chief executive officer of the Company in the future if and when it is appropriate, taking into account the circumstances of the Group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Compliance with the Model Code for Securities Transactions by Directors of Listed Issuers (the “Model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 has adopted the Model Code set out in Appendix C3 to the Listing Rules as its code of conduct regarding directors’ securities transactions. Specific enquiry has been made of all the Directors and the relevant employees and they have confirmed that they have complied with the Model Code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audit committee of the Company (the “</w:t>
      </w:r>
      <w:r>
        <w:rPr>
          <w:rFonts w:ascii="Times New Roman;Times;Serif" w:hAnsi="Times New Roman;Times;Serif"/>
          <w:b/>
          <w:i w:val="false"/>
          <w:caps w:val="false"/>
          <w:smallCaps w:val="false"/>
          <w:color w:val="231F20"/>
          <w:sz w:val="20"/>
        </w:rPr>
        <w:t>Audit Committee</w:t>
      </w:r>
      <w:r>
        <w:rPr>
          <w:rFonts w:ascii="Times New Roman;Times;Serif" w:hAnsi="Times New Roman;Times;Serif"/>
          <w:b w:val="false"/>
          <w:i w:val="false"/>
          <w:caps w:val="false"/>
          <w:smallCaps w:val="false"/>
          <w:color w:val="231F20"/>
          <w:sz w:val="20"/>
        </w:rPr>
        <w:t>”) comprises three independent non-executive Directors, being Mr. HUANG Sidney Xuande, Mr. KUOK Meng Xiong (alias GUO Mengxiong) and Mr. YIP Pak Tung Jason, with Mr. HUANG Sidney Xuande (being the independent non-executive Director with the appropriate professional qualifications) as the chairman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Audit Committee has reviewed the unaudited condensed consolidated financial statements and interim results of the Group for the Reporting Period, and there is no disagreement between the Board and the Audit Committee regarding the accounting treatment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Audit Committee has met with the independent auditor of the Company (the “</w:t>
      </w:r>
      <w:r>
        <w:rPr>
          <w:rFonts w:ascii="Times New Roman;Times;Serif" w:hAnsi="Times New Roman;Times;Serif"/>
          <w:b/>
          <w:i w:val="false"/>
          <w:caps w:val="false"/>
          <w:smallCaps w:val="false"/>
          <w:color w:val="231F20"/>
          <w:sz w:val="20"/>
        </w:rPr>
        <w:t>Auditor</w:t>
      </w:r>
      <w:r>
        <w:rPr>
          <w:rFonts w:ascii="Times New Roman;Times;Serif" w:hAnsi="Times New Roman;Times;Serif"/>
          <w:b w:val="false"/>
          <w:i w:val="false"/>
          <w:caps w:val="false"/>
          <w:smallCaps w:val="false"/>
          <w:color w:val="231F20"/>
          <w:sz w:val="20"/>
        </w:rPr>
        <w:t>”), PricewaterhouseCoopers, and has also discussed matters with respect to the accounting policies and practices adopted by the Company and internal control and financial reporting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Auditor’s Procedures Performed on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independent auditor of the Company, PricewaterhouseCoopers, has reviewed the unaudited condensed consolidated financial statements of the Group for the six months ended June 30, 2026 in accordance with International Standard on Review Engagements 2410, Review of Interim Financial Information Performed by the Independent Auditor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231F20"/>
        </w:rPr>
      </w:pPr>
      <w:r>
        <w:rPr>
          <w:caps w:val="false"/>
          <w:smallCaps w:val="false"/>
          <w:color w:val="231F20"/>
        </w:rPr>
        <w:t> </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INFORMATION</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Use of Proceeds from the Global Offering</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On July 5, 2022, the Class A Ordinary Shares were listed on the Main Board of the Hong Kong Stock Exchange and the Company successfully raised the Global Offering Net Proceeds (as defined above) of approximately HK$70.0 million. As of the date of this announcement, there was no change in the intended use of net proceeds as previously disclosed in the section headed “Future Plans and Use of Proceeds” in the prospectus of the Company dated June 22, 2022 (the “</w:t>
      </w:r>
      <w:r>
        <w:rPr>
          <w:rFonts w:ascii="Times New Roman;Times;Serif" w:hAnsi="Times New Roman;Times;Serif"/>
          <w:b/>
          <w:i w:val="false"/>
          <w:caps w:val="false"/>
          <w:smallCaps w:val="false"/>
          <w:color w:val="231F20"/>
          <w:sz w:val="20"/>
        </w:rPr>
        <w:t>Prospectus</w:t>
      </w:r>
      <w:r>
        <w:rPr>
          <w:rFonts w:ascii="Times New Roman;Times;Serif" w:hAnsi="Times New Roman;Times;Serif"/>
          <w:b w:val="false"/>
          <w:i w:val="false"/>
          <w:caps w:val="false"/>
          <w:smallCaps w:val="false"/>
          <w:color w:val="231F20"/>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at June 30, 2026, the Company had utilized the net proceeds as set out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5"/>
        <w:gridCol w:w="60"/>
        <w:gridCol w:w="208"/>
        <w:gridCol w:w="976"/>
        <w:gridCol w:w="185"/>
        <w:gridCol w:w="60"/>
        <w:gridCol w:w="1172"/>
        <w:gridCol w:w="60"/>
        <w:gridCol w:w="1169"/>
        <w:gridCol w:w="60"/>
        <w:gridCol w:w="1184"/>
        <w:gridCol w:w="60"/>
        <w:gridCol w:w="1169"/>
        <w:gridCol w:w="60"/>
        <w:gridCol w:w="1407"/>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Planned use of</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proceeds in the</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b/>
                <w:sz w:val="20"/>
              </w:rPr>
            </w:pPr>
            <w:r>
              <w:rPr>
                <w:b/>
                <w:sz w:val="20"/>
              </w:rPr>
              <w:t>Percentage of</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same manner</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Net proceeds</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b/>
                <w:sz w:val="20"/>
              </w:rPr>
            </w:pPr>
            <w:r>
              <w:rPr>
                <w:b/>
                <w:sz w:val="20"/>
              </w:rPr>
              <w:t>Actual use of</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b/>
                <w:sz w:val="20"/>
              </w:rPr>
            </w:pPr>
            <w:r>
              <w:rPr>
                <w:b/>
                <w:sz w:val="20"/>
              </w:rPr>
              <w:t>the total net</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and proportion</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unutilized as at</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b/>
                <w:sz w:val="20"/>
              </w:rPr>
            </w:pPr>
            <w:r>
              <w:rPr>
                <w:b/>
                <w:sz w:val="20"/>
              </w:rPr>
              <w:t>proceeds during</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Net proceeds</w:t>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b/>
                <w:sz w:val="20"/>
              </w:rPr>
            </w:pPr>
            <w:r>
              <w:rPr>
                <w:b/>
                <w:sz w:val="20"/>
              </w:rPr>
              <w:t>Expected timeframe</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b/>
                <w:sz w:val="20"/>
              </w:rPr>
            </w:pPr>
            <w:r>
              <w:rPr>
                <w:b/>
                <w:sz w:val="20"/>
              </w:rPr>
              <w:t>proceeds raised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as stated in</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December 31,</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b/>
                <w:sz w:val="20"/>
              </w:rPr>
            </w:pPr>
            <w:r>
              <w:rPr>
                <w:b/>
                <w:sz w:val="20"/>
              </w:rPr>
              <w:t>the Reporting</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unutilized as at</w:t>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b/>
                <w:sz w:val="20"/>
              </w:rPr>
            </w:pPr>
            <w:r>
              <w:rPr>
                <w:b/>
                <w:sz w:val="20"/>
              </w:rPr>
              <w:t>for utilizing the</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b/>
                <w:sz w:val="20"/>
              </w:rPr>
            </w:pPr>
            <w:r>
              <w:rPr>
                <w:b/>
                <w:sz w:val="20"/>
              </w:rPr>
              <w:t>from the Listing</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center"/>
              <w:rPr>
                <w:b/>
                <w:sz w:val="20"/>
              </w:rPr>
            </w:pPr>
            <w:r>
              <w:rPr>
                <w:b/>
                <w:sz w:val="20"/>
              </w:rPr>
              <w:t>the Prospectus</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center"/>
              <w:rPr>
                <w:b/>
                <w:sz w:val="20"/>
              </w:rPr>
            </w:pPr>
            <w:r>
              <w:rPr>
                <w:b/>
                <w:sz w:val="20"/>
              </w:rPr>
              <w:t>Period</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center"/>
              <w:rPr>
                <w:b/>
                <w:sz w:val="20"/>
              </w:rPr>
            </w:pPr>
            <w:r>
              <w:rPr>
                <w:b/>
                <w:sz w:val="20"/>
              </w:rPr>
              <w:t>June 30, 2026</w:t>
            </w:r>
          </w:p>
        </w:tc>
        <w:tc>
          <w:tcPr>
            <w:tcW w:w="60" w:type="dxa"/>
            <w:tcBorders/>
            <w:vAlign w:val="center"/>
          </w:tcPr>
          <w:p>
            <w:pPr>
              <w:pStyle w:val="TableContents"/>
              <w:bidi w:val="0"/>
              <w:spacing w:before="0" w:after="283"/>
              <w:jc w:val="left"/>
              <w:rPr/>
            </w:pPr>
            <w:r>
              <w:rPr/>
              <w:t> </w:t>
            </w:r>
          </w:p>
        </w:tc>
        <w:tc>
          <w:tcPr>
            <w:tcW w:w="1407" w:type="dxa"/>
            <w:tcBorders/>
            <w:vAlign w:val="center"/>
          </w:tcPr>
          <w:p>
            <w:pPr>
              <w:pStyle w:val="TableContents"/>
              <w:bidi w:val="0"/>
              <w:spacing w:before="0" w:after="283"/>
              <w:jc w:val="center"/>
              <w:rPr>
                <w:b/>
                <w:sz w:val="20"/>
              </w:rPr>
            </w:pPr>
            <w:r>
              <w:rPr>
                <w:b/>
                <w:sz w:val="20"/>
              </w:rPr>
              <w:t>remaining unutilized</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Approximate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2"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Approximate</w:t>
            </w:r>
          </w:p>
        </w:tc>
        <w:tc>
          <w:tcPr>
            <w:tcW w:w="60" w:type="dxa"/>
            <w:tcBorders/>
            <w:vAlign w:val="center"/>
          </w:tcPr>
          <w:p>
            <w:pPr>
              <w:pStyle w:val="TableContents"/>
              <w:bidi w:val="0"/>
              <w:spacing w:before="0" w:after="283"/>
              <w:jc w:val="left"/>
              <w:rPr/>
            </w:pPr>
            <w:r>
              <w:rPr/>
              <w:t> </w:t>
            </w:r>
          </w:p>
        </w:tc>
        <w:tc>
          <w:tcPr>
            <w:tcW w:w="116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Approximate</w:t>
            </w:r>
          </w:p>
        </w:tc>
        <w:tc>
          <w:tcPr>
            <w:tcW w:w="60" w:type="dxa"/>
            <w:tcBorders/>
            <w:vAlign w:val="center"/>
          </w:tcPr>
          <w:p>
            <w:pPr>
              <w:pStyle w:val="TableContents"/>
              <w:bidi w:val="0"/>
              <w:spacing w:before="0" w:after="283"/>
              <w:jc w:val="left"/>
              <w:rPr/>
            </w:pPr>
            <w:r>
              <w:rPr/>
              <w:t> </w:t>
            </w:r>
          </w:p>
        </w:tc>
        <w:tc>
          <w:tcPr>
            <w:tcW w:w="118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Approximate</w:t>
            </w:r>
          </w:p>
        </w:tc>
        <w:tc>
          <w:tcPr>
            <w:tcW w:w="60" w:type="dxa"/>
            <w:tcBorders/>
            <w:vAlign w:val="center"/>
          </w:tcPr>
          <w:p>
            <w:pPr>
              <w:pStyle w:val="TableContents"/>
              <w:bidi w:val="0"/>
              <w:spacing w:before="0" w:after="283"/>
              <w:jc w:val="left"/>
              <w:rPr/>
            </w:pPr>
            <w:r>
              <w:rPr/>
              <w:t> </w:t>
            </w:r>
          </w:p>
        </w:tc>
        <w:tc>
          <w:tcPr>
            <w:tcW w:w="1169"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Approximate</w:t>
            </w:r>
          </w:p>
        </w:tc>
        <w:tc>
          <w:tcPr>
            <w:tcW w:w="60" w:type="dxa"/>
            <w:tcBorders/>
            <w:vAlign w:val="center"/>
          </w:tcPr>
          <w:p>
            <w:pPr>
              <w:pStyle w:val="TableContents"/>
              <w:bidi w:val="0"/>
              <w:spacing w:before="0" w:after="283"/>
              <w:jc w:val="left"/>
              <w:rPr/>
            </w:pPr>
            <w:r>
              <w:rPr/>
              <w:t> </w:t>
            </w:r>
          </w:p>
        </w:tc>
        <w:tc>
          <w:tcPr>
            <w:tcW w:w="140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net proceeds</w:t>
            </w:r>
          </w:p>
        </w:tc>
      </w:tr>
      <w:tr>
        <w:trPr/>
        <w:tc>
          <w:tcPr>
            <w:tcW w:w="2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4" w:type="dxa"/>
            <w:gridSpan w:val="2"/>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(HK$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(HK$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4"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(HK$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9"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(HK$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7"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375" w:type="dxa"/>
            <w:tcBorders/>
            <w:shd w:fill="CCEEFF" w:val="clear"/>
            <w:vAlign w:val="center"/>
          </w:tcPr>
          <w:p>
            <w:pPr>
              <w:pStyle w:val="TableContents"/>
              <w:bidi w:val="0"/>
              <w:spacing w:before="0" w:after="283"/>
              <w:jc w:val="left"/>
              <w:rPr>
                <w:sz w:val="20"/>
              </w:rPr>
            </w:pPr>
            <w:r>
              <w:rPr>
                <w:sz w:val="20"/>
              </w:rPr>
              <w:t>To enhance our IoT technologies and infrastructure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sz w:val="20"/>
              </w:rPr>
            </w:pPr>
            <w:r>
              <w:rPr>
                <w:sz w:val="20"/>
              </w:rPr>
              <w:t>30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sz w:val="20"/>
              </w:rPr>
            </w:pPr>
            <w:r>
              <w:rPr>
                <w:sz w:val="20"/>
              </w:rPr>
              <w:t>21.0</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sz w:val="20"/>
              </w:rPr>
            </w:pPr>
            <w:r>
              <w:rPr>
                <w:sz w:val="20"/>
              </w:rPr>
              <w:t>6.7</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1.7</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sz w:val="20"/>
              </w:rPr>
            </w:pPr>
            <w:r>
              <w:rPr>
                <w:sz w:val="20"/>
              </w:rPr>
              <w:t>5.0</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ind w:left="0" w:right="0" w:hanging="180"/>
              <w:jc w:val="center"/>
              <w:rPr>
                <w:sz w:val="20"/>
              </w:rPr>
            </w:pPr>
            <w:r>
              <w:rPr>
                <w:sz w:val="20"/>
              </w:rPr>
              <w:t>Over the course of the next one and a half years</w:t>
            </w:r>
          </w:p>
        </w:tc>
      </w:tr>
      <w:tr>
        <w:trPr/>
        <w:tc>
          <w:tcPr>
            <w:tcW w:w="2375" w:type="dxa"/>
            <w:tcBorders/>
            <w:shd w:fill="FFFFFF" w:val="clear"/>
            <w:vAlign w:val="center"/>
          </w:tcPr>
          <w:p>
            <w:pPr>
              <w:pStyle w:val="TableContents"/>
              <w:bidi w:val="0"/>
              <w:spacing w:before="0" w:after="283"/>
              <w:jc w:val="left"/>
              <w:rPr>
                <w:sz w:val="20"/>
              </w:rPr>
            </w:pPr>
            <w:r>
              <w:rPr>
                <w:sz w:val="20"/>
              </w:rPr>
              <w:t>To expand and enhance our product offerings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sz w:val="20"/>
              </w:rPr>
            </w:pPr>
            <w:r>
              <w:rPr>
                <w:sz w:val="20"/>
              </w:rPr>
              <w:t>30</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sz w:val="20"/>
              </w:rPr>
            </w:pPr>
            <w:r>
              <w:rPr>
                <w:sz w:val="20"/>
              </w:rPr>
              <w:t>21.0</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sz w:val="20"/>
              </w:rPr>
            </w:pPr>
            <w:r>
              <w:rPr>
                <w:sz w:val="20"/>
              </w:rPr>
              <w:t>6.7</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sz w:val="20"/>
              </w:rPr>
            </w:pPr>
            <w:r>
              <w:rPr>
                <w:sz w:val="20"/>
              </w:rPr>
              <w:t>1.7</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sz w:val="20"/>
              </w:rPr>
            </w:pPr>
            <w:r>
              <w:rPr>
                <w:sz w:val="20"/>
              </w:rPr>
              <w:t>5.0</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ind w:left="0" w:right="0" w:hanging="180"/>
              <w:jc w:val="center"/>
              <w:rPr>
                <w:sz w:val="20"/>
              </w:rPr>
            </w:pPr>
            <w:r>
              <w:rPr>
                <w:sz w:val="20"/>
              </w:rPr>
              <w:t>Over the course of the next one and a half years</w:t>
            </w:r>
          </w:p>
        </w:tc>
      </w:tr>
      <w:tr>
        <w:trPr/>
        <w:tc>
          <w:tcPr>
            <w:tcW w:w="2375" w:type="dxa"/>
            <w:tcBorders/>
            <w:shd w:fill="CCEEFF" w:val="clear"/>
            <w:vAlign w:val="center"/>
          </w:tcPr>
          <w:p>
            <w:pPr>
              <w:pStyle w:val="TableContents"/>
              <w:bidi w:val="0"/>
              <w:spacing w:before="0" w:after="283"/>
              <w:jc w:val="left"/>
              <w:rPr>
                <w:sz w:val="20"/>
              </w:rPr>
            </w:pPr>
            <w:r>
              <w:rPr>
                <w:sz w:val="20"/>
              </w:rPr>
              <w:t>For marketing and branding activities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sz w:val="20"/>
              </w:rPr>
            </w:pPr>
            <w:r>
              <w:rPr>
                <w:sz w:val="20"/>
              </w:rPr>
              <w:t>15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sz w:val="20"/>
              </w:rPr>
            </w:pPr>
            <w:r>
              <w:rPr>
                <w:sz w:val="20"/>
              </w:rPr>
              <w:t>10.5</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sz w:val="20"/>
              </w:rPr>
            </w:pPr>
            <w:r>
              <w:rPr>
                <w:sz w:val="20"/>
              </w:rPr>
              <w:t>3.2</w:t>
            </w:r>
          </w:p>
        </w:tc>
        <w:tc>
          <w:tcPr>
            <w:tcW w:w="6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r>
              <w:rPr>
                <w:sz w:val="20"/>
              </w:rPr>
              <w:t>0.8</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sz w:val="20"/>
              </w:rPr>
            </w:pPr>
            <w:r>
              <w:rPr>
                <w:sz w:val="20"/>
              </w:rPr>
              <w:t>2.4</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ind w:left="0" w:right="0" w:hanging="180"/>
              <w:jc w:val="center"/>
              <w:rPr>
                <w:sz w:val="20"/>
              </w:rPr>
            </w:pPr>
            <w:r>
              <w:rPr>
                <w:sz w:val="20"/>
              </w:rPr>
              <w:t>Over the course of the next one and a half years</w:t>
            </w:r>
          </w:p>
        </w:tc>
      </w:tr>
      <w:tr>
        <w:trPr/>
        <w:tc>
          <w:tcPr>
            <w:tcW w:w="2375" w:type="dxa"/>
            <w:tcBorders/>
            <w:shd w:fill="FFFFFF" w:val="clear"/>
            <w:vAlign w:val="center"/>
          </w:tcPr>
          <w:p>
            <w:pPr>
              <w:pStyle w:val="TableContents"/>
              <w:bidi w:val="0"/>
              <w:spacing w:before="0" w:after="283"/>
              <w:jc w:val="left"/>
              <w:rPr>
                <w:sz w:val="20"/>
              </w:rPr>
            </w:pPr>
            <w:r>
              <w:rPr>
                <w:sz w:val="20"/>
              </w:rPr>
              <w:t>To pursue strategic partnerships, investments and acquisitions to implement our long-term growth strategies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sz w:val="20"/>
              </w:rPr>
            </w:pPr>
            <w:r>
              <w:rPr>
                <w:sz w:val="20"/>
              </w:rPr>
              <w:t>15</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sz w:val="20"/>
              </w:rPr>
            </w:pPr>
            <w:r>
              <w:rPr>
                <w:sz w:val="20"/>
              </w:rPr>
              <w:t>10.5</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sz w:val="20"/>
              </w:rPr>
            </w:pPr>
            <w:r>
              <w:rPr>
                <w:sz w:val="20"/>
              </w:rPr>
              <w:t>3.2</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sz w:val="20"/>
              </w:rPr>
            </w:pPr>
            <w:r>
              <w:rPr>
                <w:sz w:val="20"/>
              </w:rPr>
              <w:t>0.8</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sz w:val="20"/>
              </w:rPr>
            </w:pPr>
            <w:r>
              <w:rPr>
                <w:sz w:val="20"/>
              </w:rPr>
              <w:t>2.4</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ind w:left="0" w:right="0" w:hanging="180"/>
              <w:jc w:val="center"/>
              <w:rPr>
                <w:sz w:val="20"/>
              </w:rPr>
            </w:pPr>
            <w:r>
              <w:rPr>
                <w:sz w:val="20"/>
              </w:rPr>
              <w:t>Over the course of the next one and a half years</w:t>
            </w:r>
          </w:p>
        </w:tc>
      </w:tr>
      <w:tr>
        <w:trPr/>
        <w:tc>
          <w:tcPr>
            <w:tcW w:w="2375" w:type="dxa"/>
            <w:tcBorders/>
            <w:shd w:fill="CCEEFF" w:val="clear"/>
            <w:vAlign w:val="center"/>
          </w:tcPr>
          <w:p>
            <w:pPr>
              <w:pStyle w:val="TableContents"/>
              <w:bidi w:val="0"/>
              <w:spacing w:before="0" w:after="283"/>
              <w:jc w:val="left"/>
              <w:rPr>
                <w:sz w:val="20"/>
              </w:rPr>
            </w:pPr>
            <w:r>
              <w:rPr>
                <w:sz w:val="20"/>
              </w:rPr>
              <w:t>For general corporate purposes and working capital needs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7.0</w:t>
            </w:r>
          </w:p>
        </w:tc>
        <w:tc>
          <w:tcPr>
            <w:tcW w:w="60" w:type="dxa"/>
            <w:tcBorders/>
            <w:shd w:fill="CCEEFF" w:val="clear"/>
            <w:vAlign w:val="center"/>
          </w:tcPr>
          <w:p>
            <w:pPr>
              <w:pStyle w:val="TableContents"/>
              <w:bidi w:val="0"/>
              <w:spacing w:before="0" w:after="283"/>
              <w:jc w:val="left"/>
              <w:rPr/>
            </w:pPr>
            <w:r>
              <w:rPr/>
              <w:t> </w:t>
            </w:r>
          </w:p>
        </w:tc>
        <w:tc>
          <w:tcPr>
            <w:tcW w:w="11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w:t>
            </w:r>
          </w:p>
        </w:tc>
        <w:tc>
          <w:tcPr>
            <w:tcW w:w="60" w:type="dxa"/>
            <w:tcBorders/>
            <w:shd w:fill="CCEEFF" w:val="clear"/>
            <w:vAlign w:val="center"/>
          </w:tcPr>
          <w:p>
            <w:pPr>
              <w:pStyle w:val="TableContents"/>
              <w:bidi w:val="0"/>
              <w:spacing w:before="0" w:after="283"/>
              <w:jc w:val="left"/>
              <w:rPr/>
            </w:pPr>
            <w:r>
              <w:rPr/>
              <w:t> </w:t>
            </w:r>
          </w:p>
        </w:tc>
        <w:tc>
          <w:tcPr>
            <w:tcW w:w="11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0.6</w:t>
            </w:r>
          </w:p>
        </w:tc>
        <w:tc>
          <w:tcPr>
            <w:tcW w:w="60" w:type="dxa"/>
            <w:tcBorders/>
            <w:shd w:fill="CCEEFF" w:val="clear"/>
            <w:vAlign w:val="center"/>
          </w:tcPr>
          <w:p>
            <w:pPr>
              <w:pStyle w:val="TableContents"/>
              <w:bidi w:val="0"/>
              <w:spacing w:before="0" w:after="283"/>
              <w:jc w:val="left"/>
              <w:rPr/>
            </w:pPr>
            <w:r>
              <w:rPr/>
              <w:t> </w:t>
            </w:r>
          </w:p>
        </w:tc>
        <w:tc>
          <w:tcPr>
            <w:tcW w:w="11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w:t>
            </w:r>
          </w:p>
        </w:tc>
        <w:tc>
          <w:tcPr>
            <w:tcW w:w="60" w:type="dxa"/>
            <w:tcBorders/>
            <w:shd w:fill="CCEEFF" w:val="clear"/>
            <w:vAlign w:val="center"/>
          </w:tcPr>
          <w:p>
            <w:pPr>
              <w:pStyle w:val="TableContents"/>
              <w:bidi w:val="0"/>
              <w:spacing w:before="0" w:after="283"/>
              <w:jc w:val="left"/>
              <w:rPr/>
            </w:pPr>
            <w:r>
              <w:rPr/>
              <w:t> </w:t>
            </w:r>
          </w:p>
        </w:tc>
        <w:tc>
          <w:tcPr>
            <w:tcW w:w="1407" w:type="dxa"/>
            <w:tcBorders/>
            <w:shd w:fill="CCEEFF" w:val="clear"/>
            <w:vAlign w:val="center"/>
          </w:tcPr>
          <w:p>
            <w:pPr>
              <w:pStyle w:val="TableContents"/>
              <w:bidi w:val="0"/>
              <w:spacing w:before="0" w:after="283"/>
              <w:jc w:val="center"/>
              <w:rPr>
                <w:sz w:val="20"/>
              </w:rPr>
            </w:pPr>
            <w:r>
              <w:rPr>
                <w:sz w:val="20"/>
              </w:rPr>
              <w:t>Over the course of the next one and a half years</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center"/>
              <w:rPr/>
            </w:pPr>
            <w:r>
              <w:rPr/>
              <w:t> </w:t>
            </w:r>
          </w:p>
        </w:tc>
      </w:tr>
      <w:tr>
        <w:trPr/>
        <w:tc>
          <w:tcPr>
            <w:tcW w:w="237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2" w:space="0" w:color="000000"/>
            </w:tcBorders>
            <w:shd w:fill="CCEE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2"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22.1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Purchase, Sale and Redemption of the Company’s Listed Securities</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any of its subsidiaries purchased, sold, or redeemed any of the Company’s securities listed on the Hong Kong Stock Exchange during the Reporting Period. As of the date of this announcement, the Company does not hold any treasury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Interim dividend</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did not recommend the distribution of an interim dividend for the six months ended June 30, 2026.</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Important Events after the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Save as disclosed in this announcement, no important events affecting the Group occurred since June 30, 2026 and up to the date of this announcement.</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Contingencies</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 involved in any material litigation or arbitration during the Reporting Period which could have a material and adverse effect on our financial condition or results of operations. The Directors are also not aware of any material litigation or claims that are pending or threatened against the Company since January 1, 2026 and up to the date of this announcement which could have a material and adverse effect on our financial condition or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Publication of Interim Results Announcement and Interim Report</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This announcement is published on the website of the Hong Kong Stock Exchange at </w:t>
      </w:r>
      <w:r>
        <w:rPr>
          <w:rFonts w:ascii="Times New Roman;Times;Serif" w:hAnsi="Times New Roman;Times;Serif"/>
          <w:b/>
          <w:i w:val="false"/>
          <w:caps w:val="false"/>
          <w:smallCaps w:val="false"/>
          <w:color w:val="231F20"/>
          <w:sz w:val="20"/>
          <w:u w:val="single"/>
        </w:rPr>
        <w:t>http://www.hkexnews.hk</w:t>
      </w:r>
      <w:r>
        <w:rPr>
          <w:rFonts w:ascii="Times New Roman;Times;Serif" w:hAnsi="Times New Roman;Times;Serif"/>
          <w:b w:val="false"/>
          <w:i w:val="false"/>
          <w:caps w:val="false"/>
          <w:smallCaps w:val="false"/>
          <w:color w:val="231F20"/>
          <w:sz w:val="20"/>
        </w:rPr>
        <w:t xml:space="preserve"> and on the website of the Company at </w:t>
      </w:r>
      <w:r>
        <w:rPr>
          <w:rFonts w:ascii="Times New Roman;Times;Serif" w:hAnsi="Times New Roman;Times;Serif"/>
          <w:b/>
          <w:i w:val="false"/>
          <w:caps w:val="false"/>
          <w:smallCaps w:val="false"/>
          <w:color w:val="231F20"/>
          <w:sz w:val="20"/>
          <w:u w:val="single"/>
        </w:rPr>
        <w:t>https://ir.tuya.com</w:t>
      </w:r>
      <w:r>
        <w:rPr>
          <w:rFonts w:ascii="Times New Roman;Times;Serif" w:hAnsi="Times New Roman;Times;Serif"/>
          <w:b w:val="false"/>
          <w:i w:val="false"/>
          <w:caps w:val="false"/>
          <w:smallCaps w:val="false"/>
          <w:color w:val="231F20"/>
          <w:sz w:val="20"/>
        </w:rPr>
        <w:t>. The interim report of the Company for the six months ended June 30, 2026 and containing all the information required by the Listing Rules will be dispatched to the shareholders of the Company (if appropriate) and will be made available on the websites of the Company and the Hong Kong Stock Exchange in due course.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About Tuya Inc.</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 (NYSE: TUYA; HKEX: 2391) is a global leading AI cloud platform service provider with a mission to build an AI (refers to “</w:t>
      </w:r>
      <w:r>
        <w:rPr>
          <w:rFonts w:ascii="Times New Roman;Times;Serif" w:hAnsi="Times New Roman;Times;Serif"/>
          <w:b/>
          <w:i w:val="false"/>
          <w:caps w:val="false"/>
          <w:smallCaps w:val="false"/>
          <w:sz w:val="20"/>
        </w:rPr>
        <w:t>Artificial Intelligence</w:t>
      </w:r>
      <w:r>
        <w:rPr>
          <w:rFonts w:ascii="Times New Roman;Times;Serif" w:hAnsi="Times New Roman;Times;Serif"/>
          <w:b w:val="false"/>
          <w:i w:val="false"/>
          <w:caps w:val="false"/>
          <w:smallCaps w:val="false"/>
          <w:sz w:val="20"/>
        </w:rPr>
        <w:t>”) developer ecosystem and enable everything to be smart. Tuya has pioneered a purpose-built cloud developer platform with cloud and generative AI capabilities that delivers a full suite of offerings, including Platform-as-a-Service, or PaaS, AI application &amp; others and Smart home &amp; robot products, to developers of smart devices, commercial applications and industry solutions. Through its AI developer platform, Tuya has activated a vibrant global developer community of brands, OEMs, AI agents, system integrators and independent software vendors, collectively advancing a smart solutions ecosystem that is green and low-carbon, secure, efficient, agile and open.</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Use of Non-GAAP Financial Measures</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 evaluating the business, the Company considers and uses non-GAAP financial measures, such as non-GAAP operating expenses, non-GAAP profit from operations (including non-GAAP operating margin), non-GAAP net profit (including non-GAAP net margin), and non-GAAP basic and diluted net profit per ADS, as supplemental measures to review and assess its operating performance. The presentation of non-GAAP financial measures is not intended to be considered in isolation or as a substitute for the financial information prepared and presented in accordance with generally accepted accounting principles in the United States of America (“</w:t>
      </w:r>
      <w:r>
        <w:rPr>
          <w:rFonts w:ascii="Times New Roman;Times;Serif" w:hAnsi="Times New Roman;Times;Serif"/>
          <w:b/>
          <w:i w:val="false"/>
          <w:caps w:val="false"/>
          <w:smallCaps w:val="false"/>
          <w:color w:val="231F20"/>
          <w:sz w:val="20"/>
        </w:rPr>
        <w:t>U.S. GAAP</w:t>
      </w:r>
      <w:r>
        <w:rPr>
          <w:rFonts w:ascii="Times New Roman;Times;Serif" w:hAnsi="Times New Roman;Times;Serif"/>
          <w:b w:val="false"/>
          <w:i w:val="false"/>
          <w:caps w:val="false"/>
          <w:smallCaps w:val="false"/>
          <w:color w:val="231F20"/>
          <w:sz w:val="20"/>
        </w:rPr>
        <w:t>”). The Company defines non-GAAP financial measures by excluding the impact of share-based compensation expenses and credit-related impairment/(reversal) of long-term investments from the respective GAAP financial measures. The Company presents the non-GAAP financial measures because they are used by the management to evaluate its operating performance and formulate business plans. The Company also believes that the use of the non-GAAP financial measures facilitates investors’ assessment of its operating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Non-GAAP financial measures are not defined under U.S. GAAP and are not presented in accordance with U.S. GAAP. Non-GAAP financial measures have limitations as analytical tools. One of the key limitations of using the aforementioned non-GAAP financial measures is that they do not reflect all items of expenses that affect the Group’s operations. Share-based compensation expenses and credit-related impairment/(reversal) of long-term investments have been and may continue to be incurred in the business and are not reflected in the presentation of non-GAAP measures. Further, the non-GAAP financial measures may differ from the non-GAAP information used by other companies, including peer companies, and therefore their comparability may be limited. The Company compensates for these limitations by reconciling the non-GAAP measures to the most directly comparable U.S. GAAP measures, all of which should be considered when evaluating the Group’s performance. The Company encourages you to review its financial information in its entirety and not rely on a single financial measure.</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unaudited reconciliations of Tuya’s non-GAAP measures to the most comparable U.S. GAAP measures are included at the end of this announcement.</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Safe Harbor Statement</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announcement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United States Securities and Exchange Commission. The forward-looking statements included in this announcement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pStyle w:val="TextBody"/>
        <w:bidi w:val="0"/>
        <w:spacing w:before="0" w:after="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sz w:val="20"/>
              </w:rPr>
            </w:pPr>
            <w:r>
              <w:rPr>
                <w:sz w:val="20"/>
              </w:rPr>
              <w:t>By order of the Board</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b/>
                <w:sz w:val="20"/>
              </w:rPr>
            </w:pPr>
            <w:r>
              <w:rPr>
                <w:b/>
                <w:sz w:val="20"/>
              </w:rPr>
              <w:t>Tuya Inc.</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b/>
                <w:sz w:val="20"/>
              </w:rPr>
            </w:pPr>
            <w:r>
              <w:rPr>
                <w:b/>
                <w:sz w:val="20"/>
              </w:rPr>
              <w:t>WANG Xueji</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i/>
                <w:sz w:val="20"/>
              </w:rPr>
            </w:pPr>
            <w:r>
              <w:rPr>
                <w:i/>
                <w:sz w:val="20"/>
              </w:rPr>
              <w:t>Chairman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24,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the date of this announcement, the Board comprises Mr. WANG Xueji, Mr. CHEN Liaohan, Mr. YANG Yi and Ms. ZHANG Yan as executive Directors; and Mr. HUANG Sidney Xuande, Mr. QIU Changheng, Mr. KUOK Meng Xiong (alias GUO Mengxiong) and Mr. YIP Pak Tung Jason as independent non-executive Directors.</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BALANCE SHEETS</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 DECEMBER 31, 2025 AND JUNE 30, 2026</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7084" w:type="dxa"/>
        <w:jc w:val="left"/>
        <w:tblInd w:w="0" w:type="dxa"/>
        <w:tblLayout w:type="fixed"/>
        <w:tblCellMar>
          <w:top w:w="0" w:type="dxa"/>
          <w:left w:w="0" w:type="dxa"/>
          <w:bottom w:w="0" w:type="dxa"/>
          <w:right w:w="0" w:type="dxa"/>
        </w:tblCellMar>
      </w:tblPr>
      <w:tblGrid>
        <w:gridCol w:w="4220"/>
        <w:gridCol w:w="60"/>
        <w:gridCol w:w="410"/>
        <w:gridCol w:w="60"/>
        <w:gridCol w:w="60"/>
        <w:gridCol w:w="77"/>
        <w:gridCol w:w="1097"/>
        <w:gridCol w:w="60"/>
        <w:gridCol w:w="60"/>
        <w:gridCol w:w="60"/>
        <w:gridCol w:w="845"/>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 xml:space="preserve">As of </w:t>
              <w:br/>
              <w:t xml:space="preserve">December 31, </w:t>
              <w:br/>
              <w:t xml:space="preserve">2025 </w:t>
              <w:b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31F20"/>
                <w:sz w:val="20"/>
              </w:rPr>
            </w:pPr>
            <w:r>
              <w:rPr>
                <w:rFonts w:ascii="Times New Roman;Times;Serif" w:hAnsi="Times New Roman;Times;Serif"/>
                <w:b/>
                <w:color w:val="231F20"/>
                <w:sz w:val="20"/>
              </w:rPr>
              <w:t xml:space="preserve">As of </w:t>
              <w:br/>
              <w:t>June 30,</w:t>
              <w:br/>
              <w:t>2026</w:t>
              <w:br/>
              <w:t>US$</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Current assets: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871,704</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Restricted cash</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color w:val="231F20"/>
              </w:rPr>
            </w:pPr>
            <w:r>
              <w:rPr>
                <w:color w:val="231F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8</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61,770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108,173</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color w:val="231F20"/>
                <w:sz w:val="20"/>
              </w:rPr>
            </w:pPr>
            <w:r>
              <w:rPr>
                <w:rFonts w:ascii="Times New Roman;Times;Serif" w:hAnsi="Times New Roman;Times;Serif"/>
                <w:color w:val="231F20"/>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13,193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14,114</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Notes receivable,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11,214</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Inventories,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30,943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63,843</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Prepayments and other current assets,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16,486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29,201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1,023,211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1,098,257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Non-current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Restricted cash</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253</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Property, equipment and software,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15,653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35,007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8,843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9,032</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5,649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9,138</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77,213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12,928</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Other non-current assets,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986</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67,344</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Total assets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1,165,601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Accounts payable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36,776</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Advances from customers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29,330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43,037</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Deferred revenue, current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9,732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9,078</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Accruals and other 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33,261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32,993</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Incomes tax payables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101</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color w:val="231F20"/>
                <w:sz w:val="20"/>
              </w:rPr>
            </w:pPr>
            <w:r>
              <w:rPr>
                <w:rFonts w:ascii="Times New Roman;Times;Serif" w:hAnsi="Times New Roman;Times;Serif"/>
                <w:color w:val="231F20"/>
                <w:sz w:val="20"/>
              </w:rPr>
              <w:t>Lease liabilities, current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color w:val="231F20"/>
                <w:sz w:val="20"/>
              </w:rPr>
            </w:pPr>
            <w:r>
              <w:rPr>
                <w:rFonts w:ascii="Times New Roman;Times;Serif" w:hAnsi="Times New Roman;Times;Serif"/>
                <w:color w:val="231F20"/>
                <w:sz w:val="20"/>
              </w:rPr>
              <w:t>1,985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color w:val="231F20"/>
                <w:sz w:val="20"/>
              </w:rPr>
            </w:pPr>
            <w:r>
              <w:rPr>
                <w:rFonts w:ascii="Times New Roman;Times;Serif" w:hAnsi="Times New Roman;Times;Serif"/>
                <w:b/>
                <w:color w:val="231F20"/>
                <w:sz w:val="20"/>
              </w:rPr>
              <w:t>3,665</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125,650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BALANCE SHEETS</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 DECEMBER 31, 2025 AND JUNE 30, 2026 (CONTINUED)</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6314" w:type="dxa"/>
        <w:jc w:val="left"/>
        <w:tblInd w:w="0" w:type="dxa"/>
        <w:tblLayout w:type="fixed"/>
        <w:tblCellMar>
          <w:top w:w="0" w:type="dxa"/>
          <w:left w:w="0" w:type="dxa"/>
          <w:bottom w:w="0" w:type="dxa"/>
          <w:right w:w="0" w:type="dxa"/>
        </w:tblCellMar>
      </w:tblPr>
      <w:tblGrid>
        <w:gridCol w:w="3470"/>
        <w:gridCol w:w="60"/>
        <w:gridCol w:w="410"/>
        <w:gridCol w:w="60"/>
        <w:gridCol w:w="77"/>
        <w:gridCol w:w="1097"/>
        <w:gridCol w:w="80"/>
        <w:gridCol w:w="60"/>
        <w:gridCol w:w="60"/>
        <w:gridCol w:w="845"/>
        <w:gridCol w:w="9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Note</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br/>
              <w:t xml:space="preserve">December 31, </w:t>
              <w:br/>
              <w:t xml:space="preserve">2025 </w:t>
              <w:br/>
              <w:t>US$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br/>
              <w:t>June 30,</w:t>
              <w:br/>
              <w:t>2026</w:t>
              <w:br/>
              <w:t>US$</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liabilities, non-current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3,329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5,651</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revenue, non-current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720</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5,937</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3,681</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12,308</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shd w:fill="CCEEFF"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CCEEFF" w:val="clear"/>
            <w:vAlign w:val="center"/>
          </w:tcPr>
          <w:p>
            <w:pPr>
              <w:pStyle w:val="TableContents"/>
              <w:bidi w:val="0"/>
              <w:spacing w:before="0" w:after="283"/>
              <w:jc w:val="right"/>
              <w:rPr>
                <w:caps w:val="false"/>
                <w:smallCaps w:val="false"/>
                <w:color w:val="000000"/>
              </w:rPr>
            </w:pPr>
            <w:r>
              <w:rPr>
                <w:caps w:val="false"/>
                <w:smallCaps w:val="false"/>
                <w:color w:val="000000"/>
              </w:rPr>
              <w:t> </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liabilities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109,909</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137,958</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Class A ordinary shares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tc>
        <w:tc>
          <w:tcPr>
            <w:tcW w:w="8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27</w:t>
            </w:r>
          </w:p>
        </w:tc>
        <w:tc>
          <w:tcPr>
            <w:tcW w:w="95" w:type="dxa"/>
            <w:tcBorders/>
            <w:shd w:fill="CCEE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Class B ordinary shares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Treasury stock</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(1,224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1,549,389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1,513,127</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(14,842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(6,740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(511,961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(477,551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1,022,605</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1,027,643</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0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1,132,514</w:t>
            </w:r>
          </w:p>
        </w:tc>
        <w:tc>
          <w:tcPr>
            <w:tcW w:w="8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1,165,601</w:t>
            </w:r>
          </w:p>
        </w:tc>
        <w:tc>
          <w:tcPr>
            <w:tcW w:w="95" w:type="dxa"/>
            <w:tcBorders/>
            <w:shd w:fill="FFFFFF" w:val="clear"/>
            <w:vAlign w:val="center"/>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COMPREHENSIVE INCOME</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6887" w:type="dxa"/>
        <w:jc w:val="left"/>
        <w:tblInd w:w="0" w:type="dxa"/>
        <w:tblLayout w:type="fixed"/>
        <w:tblCellMar>
          <w:top w:w="0" w:type="dxa"/>
          <w:left w:w="0" w:type="dxa"/>
          <w:bottom w:w="0" w:type="dxa"/>
          <w:right w:w="0" w:type="dxa"/>
        </w:tblCellMar>
      </w:tblPr>
      <w:tblGrid>
        <w:gridCol w:w="4055"/>
        <w:gridCol w:w="60"/>
        <w:gridCol w:w="410"/>
        <w:gridCol w:w="60"/>
        <w:gridCol w:w="80"/>
        <w:gridCol w:w="930"/>
        <w:gridCol w:w="107"/>
        <w:gridCol w:w="80"/>
        <w:gridCol w:w="80"/>
        <w:gridCol w:w="930"/>
        <w:gridCol w:w="95"/>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Note</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June 30, </w:t>
              <w:br/>
              <w:t>2025</w:t>
            </w:r>
          </w:p>
        </w:tc>
        <w:tc>
          <w:tcPr>
            <w:tcW w:w="107"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br/>
              <w:t>2026</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154,817</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173,817</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Cost of revenue</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(79,820</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(92,871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Gross profit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74,997</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80,946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(45,183</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(45,098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(16,172</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(15,746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(18,315</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(9,031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operating incomes,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4,309</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5,709</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(75,361</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(Loss)/profit from operations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income</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non-operating incomes,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b w:val="false"/>
                <w:i w:val="false"/>
                <w:caps w:val="false"/>
                <w:smallCaps w:val="false"/>
                <w:sz w:val="20"/>
              </w:rPr>
            </w:pPr>
            <w:r>
              <w:rPr>
                <w:b w:val="false"/>
                <w:i w:val="false"/>
                <w:caps w:val="false"/>
                <w:smallCaps w:val="false"/>
                <w:sz w:val="20"/>
              </w:rPr>
              <w:t>1,534</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b/>
                <w:sz w:val="20"/>
              </w:rPr>
            </w:pPr>
            <w:r>
              <w:rPr>
                <w:b/>
                <w:sz w:val="20"/>
              </w:rPr>
              <w:t>1,227</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Financial income, net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23,156</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20,052</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Foreign exchange gain/(loss), net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650</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(3,003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0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Profit before income tax expense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35,056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(1,372</w:t>
            </w:r>
          </w:p>
        </w:tc>
        <w:tc>
          <w:tcPr>
            <w:tcW w:w="10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(646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tcBorders/>
            <w:shd w:fill="CCEE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 attributable to Tuya Inc.</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COMPREHENSIVE INCOME (CONTINUED)</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770"/>
        <w:gridCol w:w="60"/>
        <w:gridCol w:w="410"/>
        <w:gridCol w:w="60"/>
        <w:gridCol w:w="60"/>
        <w:gridCol w:w="1055"/>
        <w:gridCol w:w="60"/>
        <w:gridCol w:w="60"/>
        <w:gridCol w:w="60"/>
        <w:gridCol w:w="1055"/>
        <w:gridCol w:w="95"/>
      </w:tblGrid>
      <w:tr>
        <w:trPr/>
        <w:tc>
          <w:tcPr>
            <w:tcW w:w="6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June 30,</w:t>
              <w:br/>
              <w:t>2025</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b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23,604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Changes in fair value of long-term investments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comprehensive income attributable to Tuya Inc.</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24,094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profit attributable to Tuya Inc.</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used in computing net profit per share</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sz w:val="20"/>
              </w:rPr>
            </w:pPr>
            <w:r>
              <w:rPr>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Basic</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608,348,598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615,524,218</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Diluted</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610,414,036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616,345,859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profit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sz w:val="20"/>
              </w:rPr>
            </w:pPr>
            <w:r>
              <w:rPr>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Basic</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Diluted</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0.06</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expenses were included in:</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3,476</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728</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1,320</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160</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7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10,958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342</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CASH FLOWS</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077" w:type="dxa"/>
        <w:jc w:val="left"/>
        <w:tblInd w:w="0" w:type="dxa"/>
        <w:tblLayout w:type="fixed"/>
        <w:tblCellMar>
          <w:top w:w="0" w:type="dxa"/>
          <w:left w:w="0" w:type="dxa"/>
          <w:bottom w:w="0" w:type="dxa"/>
          <w:right w:w="0" w:type="dxa"/>
        </w:tblCellMar>
      </w:tblPr>
      <w:tblGrid>
        <w:gridCol w:w="6245"/>
        <w:gridCol w:w="60"/>
        <w:gridCol w:w="410"/>
        <w:gridCol w:w="60"/>
        <w:gridCol w:w="80"/>
        <w:gridCol w:w="930"/>
        <w:gridCol w:w="107"/>
        <w:gridCol w:w="80"/>
        <w:gridCol w:w="80"/>
        <w:gridCol w:w="930"/>
        <w:gridCol w:w="95"/>
      </w:tblGrid>
      <w:tr>
        <w:trPr/>
        <w:tc>
          <w:tcPr>
            <w:tcW w:w="6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w:t>
            </w:r>
          </w:p>
        </w:tc>
        <w:tc>
          <w:tcPr>
            <w:tcW w:w="95"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Note</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June 30,</w:t>
              <w:br/>
              <w:t>2025</w:t>
            </w:r>
          </w:p>
        </w:tc>
        <w:tc>
          <w:tcPr>
            <w:tcW w:w="107"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br/>
              <w:t>2026</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27,543</w:t>
            </w:r>
          </w:p>
        </w:tc>
        <w:tc>
          <w:tcPr>
            <w:tcW w:w="107"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12,569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generated from investing activities</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79,968</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6,719</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(36,912</w:t>
            </w:r>
          </w:p>
        </w:tc>
        <w:tc>
          <w:tcPr>
            <w:tcW w:w="1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(38,704</w:t>
            </w:r>
          </w:p>
        </w:tc>
        <w:tc>
          <w:tcPr>
            <w:tcW w:w="95" w:type="dxa"/>
            <w:tcBorders/>
            <w:shd w:fill="CCEEFF" w:val="clear"/>
            <w:vAlign w:val="center"/>
          </w:tcPr>
          <w:p>
            <w:pPr>
              <w:pStyle w:val="TableContents"/>
              <w:bidi w:val="0"/>
              <w:spacing w:before="0" w:after="283"/>
              <w:ind w:left="0" w:right="0" w:hanging="239"/>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 of exchange rate changes on cash and cash equivalents, restricted cash</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428</w:t>
            </w:r>
          </w:p>
        </w:tc>
        <w:tc>
          <w:tcPr>
            <w:tcW w:w="95" w:type="dxa"/>
            <w:tcBorders/>
            <w:shd w:fill="FFFFFF" w:val="clear"/>
            <w:vAlign w:val="center"/>
          </w:tcPr>
          <w:p>
            <w:pPr>
              <w:pStyle w:val="TableContents"/>
              <w:bidi w:val="0"/>
              <w:spacing w:before="0" w:after="283"/>
              <w:ind w:left="0" w:right="0" w:hanging="239"/>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increase/(decrease) in cash and cash equivalents, restricted cash</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70,687</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(18,988</w:t>
            </w:r>
          </w:p>
        </w:tc>
        <w:tc>
          <w:tcPr>
            <w:tcW w:w="95" w:type="dxa"/>
            <w:tcBorders/>
            <w:shd w:fill="FFFFFF" w:val="clear"/>
            <w:vAlign w:val="center"/>
          </w:tcPr>
          <w:p>
            <w:pPr>
              <w:pStyle w:val="TableContents"/>
              <w:bidi w:val="0"/>
              <w:spacing w:before="0" w:after="283"/>
              <w:ind w:left="0" w:right="0" w:hanging="239"/>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39"/>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Cash and cash equivalents, restricted cash at the beginning of period</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653,384</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890,953</w:t>
            </w:r>
          </w:p>
        </w:tc>
        <w:tc>
          <w:tcPr>
            <w:tcW w:w="95" w:type="dxa"/>
            <w:tcBorders/>
            <w:shd w:fill="FFFFFF" w:val="clear"/>
            <w:vAlign w:val="center"/>
          </w:tcPr>
          <w:p>
            <w:pPr>
              <w:pStyle w:val="TableContents"/>
              <w:bidi w:val="0"/>
              <w:spacing w:before="0" w:after="283"/>
              <w:ind w:left="0" w:right="0" w:hanging="239"/>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39"/>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Cash and cash equivalents, restricted cash at the end of period</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724,071</w:t>
            </w:r>
          </w:p>
        </w:tc>
        <w:tc>
          <w:tcPr>
            <w:tcW w:w="107"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871,965</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NOTES TO THE CONDENSED CONSOLIDATED INTERIM FINANCIAL INFORMATION:</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2465" w:type="dxa"/>
            <w:tcBorders/>
            <w:vAlign w:val="center"/>
          </w:tcPr>
          <w:p>
            <w:pPr>
              <w:pStyle w:val="TableContents"/>
              <w:bidi w:val="0"/>
              <w:spacing w:before="0" w:after="283"/>
              <w:jc w:val="left"/>
              <w:rPr>
                <w:b/>
                <w:sz w:val="20"/>
              </w:rPr>
            </w:pPr>
            <w:r>
              <w:rPr>
                <w:b/>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Tuya Inc. (the “Company”) was incorporated under the laws of the Cayman Islands on August 28, 2014, as an exempted company with limited liability. The Company and its subsidiaries and consolidated variable interest entity (“VIE”) (collectively referred to as the “Group”) are principally engaged in offering PaaS (Platform-as-a-Service) to business customers developing IoT (Internet of Things) devices, including brands and their OEMs (original equipment manufacturer). And, the Group offers Industry SaaS (Software-as-a-Service) and cloud-based value-added services with AI application functions to its customers (the “AI application &amp; others”). The Group also sells finished smart devices powered by Tuya purchased from qualified OEMs (the “Smart home &amp; robot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incorporation of Tuya Inc. in August 2014, the Group commenced its initial operations through Hangzhou Tuya Technology Co., Ltd. (“Hangzhou Tuya Technology”), which was established on June 16, 2014 by Wang Xueji and another individual. After a series of agreements, Hangzhou Tuya Technology was owned by Wang Xueji and other four individuals (collectively, the “Registered Shareholders”) together with two unrelated investors of Series Angel financing (the “Non-Registered Shareholders VIE Investors”) by August 2014. In December 2014, Hangzhou Tuya Information Technology Co., Ltd. (the “WFOE”) was established after the incorporation of Tuya Inc. The Group then entered into a series of contractual arrangements among the WFOE, Hangzhou Tuya Technology and Hangzhou Tuya Technology’s shareholders in December 2014, and thereafter Hangzhou Tuya Technology (the “VIE”) became the variable interest entity of the Group. After the completion of this transaction, the Group’s consolidated financial statements include the financial statements of the Company, its subsidiaries and the consolidated VIE. In 2019, the VIE agreements were amended to modify the VIE’s shareholders list and equity interest of each shareholder as a result of the change in registered share capital of the VIE and the exit of Non-Registered Shareholders VIE Investors as the VIE’s shareholders. The contractual arrangements were further amended in January 2022. In 2025, the Group terminated the contractual arrangements entered into by the WFOE with the VIE and the VIE’s shareholders. The VIE was deregistered in November 2025. The VIE operated de minimis business activities and had no material impact on the Company’s financial position, results of operations or cash flows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85"/>
        <w:gridCol w:w="236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2360" w:type="dxa"/>
            <w:tcBorders/>
            <w:vAlign w:val="center"/>
          </w:tcPr>
          <w:p>
            <w:pPr>
              <w:pStyle w:val="TableContents"/>
              <w:bidi w:val="0"/>
              <w:spacing w:before="0" w:after="283"/>
              <w:jc w:val="left"/>
              <w:rPr>
                <w:b/>
                <w:sz w:val="20"/>
              </w:rPr>
            </w:pPr>
            <w:r>
              <w:rPr>
                <w:b/>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Group’s financial position as of June 30, 2026, results of operations and cash flows for the six months ended June 30, 2025 and 2026. The consolidated balance sheet at December 31, 2025 has been derived from the audited financial statements at that date but does not include all the information and footnotes required by U.S. GAAP. The unaudited condensed consolidated financial statements and related disclosures have been prepared with the presumption that users of the unaudited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2025. The accounting policies applied are consistent with those of the audited consolidated financial statements for the preceding fiscal year. Results for the six months ended June 30, 2026 are not necessarily indicative of the results expected for the full fiscal year or for any future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85"/>
        <w:gridCol w:w="108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085" w:type="dxa"/>
            <w:tcBorders/>
            <w:vAlign w:val="center"/>
          </w:tcPr>
          <w:p>
            <w:pPr>
              <w:pStyle w:val="TableContents"/>
              <w:bidi w:val="0"/>
              <w:spacing w:before="0" w:after="283"/>
              <w:jc w:val="left"/>
              <w:rPr>
                <w:b/>
                <w:sz w:val="20"/>
              </w:rPr>
            </w:pPr>
            <w:r>
              <w:rPr>
                <w:b/>
                <w:sz w:val="20"/>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Group’s revenue was disaggregated by its major revenue streams in the six months presented as follows:</w:t>
      </w:r>
    </w:p>
    <w:p>
      <w:pPr>
        <w:pStyle w:val="TextBody"/>
        <w:bidi w:val="0"/>
        <w:spacing w:before="0" w:after="0"/>
        <w:ind w:left="0" w:right="0" w:hanging="0"/>
        <w:jc w:val="left"/>
        <w:rPr>
          <w:caps w:val="false"/>
          <w:smallCaps w:val="false"/>
        </w:rPr>
      </w:pPr>
      <w:r>
        <w:rPr>
          <w:caps w:val="false"/>
          <w:smallCaps w:val="false"/>
        </w:rPr>
        <w:t> </w:t>
      </w:r>
    </w:p>
    <w:tbl>
      <w:tblPr>
        <w:tblW w:w="4776" w:type="dxa"/>
        <w:jc w:val="left"/>
        <w:tblInd w:w="0" w:type="dxa"/>
        <w:tblLayout w:type="fixed"/>
        <w:tblCellMar>
          <w:top w:w="0" w:type="dxa"/>
          <w:left w:w="0" w:type="dxa"/>
          <w:bottom w:w="0" w:type="dxa"/>
          <w:right w:w="0" w:type="dxa"/>
        </w:tblCellMar>
      </w:tblPr>
      <w:tblGrid>
        <w:gridCol w:w="2345"/>
        <w:gridCol w:w="60"/>
        <w:gridCol w:w="84"/>
        <w:gridCol w:w="980"/>
        <w:gridCol w:w="84"/>
        <w:gridCol w:w="84"/>
        <w:gridCol w:w="84"/>
        <w:gridCol w:w="980"/>
        <w:gridCol w:w="75"/>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8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PaaS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111,869</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126,968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Smart home &amp; robot product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21,913</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23,693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AI application &amp; others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21,035</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23,156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revenue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154,817</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173,817</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85"/>
        <w:gridCol w:w="1070"/>
      </w:tblGrid>
      <w:tr>
        <w:trPr/>
        <w:tc>
          <w:tcPr>
            <w:tcW w:w="185" w:type="dxa"/>
            <w:tcBorders/>
            <w:vAlign w:val="center"/>
          </w:tcPr>
          <w:p>
            <w:pPr>
              <w:pStyle w:val="TableContents"/>
              <w:bidi w:val="0"/>
              <w:spacing w:before="0" w:after="283"/>
              <w:jc w:val="left"/>
              <w:rPr>
                <w:b/>
                <w:sz w:val="20"/>
              </w:rPr>
            </w:pPr>
            <w:r>
              <w:rPr>
                <w:b/>
                <w:sz w:val="20"/>
              </w:rPr>
              <w:t>4.</w:t>
            </w:r>
          </w:p>
        </w:tc>
        <w:tc>
          <w:tcPr>
            <w:tcW w:w="1070" w:type="dxa"/>
            <w:tcBorders/>
            <w:vAlign w:val="center"/>
          </w:tcPr>
          <w:p>
            <w:pPr>
              <w:pStyle w:val="TableContents"/>
              <w:bidi w:val="0"/>
              <w:spacing w:before="0" w:after="283"/>
              <w:jc w:val="left"/>
              <w:rPr>
                <w:b/>
                <w:sz w:val="20"/>
              </w:rPr>
            </w:pPr>
            <w:r>
              <w:rPr>
                <w:b/>
                <w:sz w:val="20"/>
              </w:rPr>
              <w:t>TAXATION</w:t>
            </w:r>
          </w:p>
        </w:tc>
      </w:tr>
    </w:tbl>
    <w:p>
      <w:pPr>
        <w:pStyle w:val="TextBody"/>
        <w:bidi w:val="0"/>
        <w:spacing w:before="0" w:after="283"/>
        <w:jc w:val="left"/>
        <w:rPr/>
      </w:pPr>
      <w:r>
        <w:rPr/>
        <w:t> </w:t>
      </w:r>
    </w:p>
    <w:p>
      <w:pPr>
        <w:pStyle w:val="TextBody"/>
        <w:bidi w:val="0"/>
        <w:ind w:left="720" w:right="0" w:hanging="0"/>
        <w:jc w:val="left"/>
        <w:rPr>
          <w:rFonts w:ascii="Times New Roman;Times;Serif" w:hAnsi="Times New Roman;Times;Serif"/>
          <w:color w:val="231F20"/>
          <w:sz w:val="20"/>
        </w:rPr>
      </w:pPr>
      <w:r>
        <w:rPr>
          <w:rFonts w:ascii="Times New Roman;Times;Serif" w:hAnsi="Times New Roman;Times;Serif"/>
          <w:color w:val="231F20"/>
          <w:sz w:val="20"/>
        </w:rPr>
        <w:t>The components of profit before tax are as follow:</w:t>
      </w:r>
    </w:p>
    <w:p>
      <w:pPr>
        <w:pStyle w:val="TextBody"/>
        <w:bidi w:val="0"/>
        <w:spacing w:before="0" w:after="283"/>
        <w:jc w:val="left"/>
        <w:rPr/>
      </w:pPr>
      <w:r>
        <w:rPr/>
        <w:t> </w:t>
      </w:r>
    </w:p>
    <w:tbl>
      <w:tblPr>
        <w:tblW w:w="4733" w:type="dxa"/>
        <w:jc w:val="left"/>
        <w:tblInd w:w="0" w:type="dxa"/>
        <w:tblLayout w:type="fixed"/>
        <w:tblCellMar>
          <w:top w:w="0" w:type="dxa"/>
          <w:left w:w="0" w:type="dxa"/>
          <w:bottom w:w="0" w:type="dxa"/>
          <w:right w:w="0" w:type="dxa"/>
        </w:tblCellMar>
      </w:tblPr>
      <w:tblGrid>
        <w:gridCol w:w="2300"/>
        <w:gridCol w:w="60"/>
        <w:gridCol w:w="130"/>
        <w:gridCol w:w="1052"/>
        <w:gridCol w:w="130"/>
        <w:gridCol w:w="130"/>
        <w:gridCol w:w="130"/>
        <w:gridCol w:w="726"/>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13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Current income tax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1,372</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646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income tax</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income tax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1,372</w:t>
            </w:r>
          </w:p>
        </w:tc>
        <w:tc>
          <w:tcPr>
            <w:tcW w:w="1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646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tbl>
      <w:tblPr>
        <w:tblW w:w="1285" w:type="dxa"/>
        <w:jc w:val="left"/>
        <w:tblInd w:w="0" w:type="dxa"/>
        <w:tblLayout w:type="fixed"/>
        <w:tblCellMar>
          <w:top w:w="0" w:type="dxa"/>
          <w:left w:w="0" w:type="dxa"/>
          <w:bottom w:w="0" w:type="dxa"/>
          <w:right w:w="0" w:type="dxa"/>
        </w:tblCellMar>
      </w:tblPr>
      <w:tblGrid>
        <w:gridCol w:w="185"/>
        <w:gridCol w:w="1100"/>
      </w:tblGrid>
      <w:tr>
        <w:trPr/>
        <w:tc>
          <w:tcPr>
            <w:tcW w:w="185" w:type="dxa"/>
            <w:tcBorders/>
            <w:vAlign w:val="center"/>
          </w:tcPr>
          <w:p>
            <w:pPr>
              <w:pStyle w:val="TableContents"/>
              <w:bidi w:val="0"/>
              <w:spacing w:before="0" w:after="283"/>
              <w:jc w:val="left"/>
              <w:rPr>
                <w:b/>
                <w:sz w:val="20"/>
              </w:rPr>
            </w:pPr>
            <w:r>
              <w:rPr>
                <w:b/>
                <w:sz w:val="20"/>
              </w:rPr>
              <w:t>5.</w:t>
            </w:r>
          </w:p>
        </w:tc>
        <w:tc>
          <w:tcPr>
            <w:tcW w:w="1100" w:type="dxa"/>
            <w:tcBorders/>
            <w:vAlign w:val="center"/>
          </w:tcPr>
          <w:p>
            <w:pPr>
              <w:pStyle w:val="TableContents"/>
              <w:bidi w:val="0"/>
              <w:spacing w:before="0" w:after="283"/>
              <w:jc w:val="left"/>
              <w:rPr>
                <w:b/>
                <w:sz w:val="20"/>
              </w:rPr>
            </w:pPr>
            <w:r>
              <w:rPr>
                <w:b/>
                <w:sz w:val="20"/>
              </w:rPr>
              <w:t>DIVIDENDS</w:t>
            </w:r>
          </w:p>
        </w:tc>
      </w:tr>
    </w:tbl>
    <w:p>
      <w:pPr>
        <w:pStyle w:val="TextBody"/>
        <w:bidi w:val="0"/>
        <w:spacing w:before="0" w:after="283"/>
        <w:jc w:val="left"/>
        <w:rPr/>
      </w:pPr>
      <w:r>
        <w:rPr/>
        <w:t> </w:t>
      </w:r>
    </w:p>
    <w:p>
      <w:pPr>
        <w:pStyle w:val="TextBody"/>
        <w:bidi w:val="0"/>
        <w:ind w:left="720" w:right="0" w:hanging="0"/>
        <w:jc w:val="both"/>
        <w:rPr>
          <w:sz w:val="20"/>
        </w:rPr>
      </w:pPr>
      <w:r>
        <w:rPr>
          <w:rFonts w:ascii="Times New Roman;Times;Serif" w:hAnsi="Times New Roman;Times;Serif"/>
          <w:sz w:val="20"/>
        </w:rPr>
        <w:t>On March 2, 2026, the board of directors of the Company has approved the declaration and distribution of a</w:t>
      </w:r>
      <w:r>
        <w:rPr>
          <w:sz w:val="20"/>
        </w:rPr>
        <w:t xml:space="preserve"> dividend of US$0.0605 per ordinary share, or US$0.0605 per ADS, to such holders as at the close of business on March 18, 2026, Hong Kong Time and New York Time, respectively. The aggregate amount of this dividend was US$37 million and was paid in cash in April 2026.</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55" w:type="dxa"/>
        <w:jc w:val="left"/>
        <w:tblInd w:w="0" w:type="dxa"/>
        <w:tblLayout w:type="fixed"/>
        <w:tblCellMar>
          <w:top w:w="0" w:type="dxa"/>
          <w:left w:w="0" w:type="dxa"/>
          <w:bottom w:w="0" w:type="dxa"/>
          <w:right w:w="0" w:type="dxa"/>
        </w:tblCellMar>
      </w:tblPr>
      <w:tblGrid>
        <w:gridCol w:w="185"/>
        <w:gridCol w:w="437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4370" w:type="dxa"/>
            <w:tcBorders/>
            <w:vAlign w:val="center"/>
          </w:tcPr>
          <w:p>
            <w:pPr>
              <w:pStyle w:val="TableContents"/>
              <w:bidi w:val="0"/>
              <w:spacing w:before="0" w:after="283"/>
              <w:jc w:val="both"/>
              <w:rPr>
                <w:b/>
                <w:sz w:val="20"/>
              </w:rPr>
            </w:pPr>
            <w:r>
              <w:rPr>
                <w:b/>
                <w:sz w:val="20"/>
              </w:rPr>
              <w:t>BASIC AND DILUTED NET PROFIT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and diluted profit per share have been calculated in accordance with ASC 260 on computation of profit per share for each of the six months ended June 30, 2025 and 2026 are calculated as follows:</w:t>
      </w:r>
    </w:p>
    <w:p>
      <w:pPr>
        <w:pStyle w:val="TextBody"/>
        <w:bidi w:val="0"/>
        <w:spacing w:before="0" w:after="0"/>
        <w:ind w:left="0" w:right="0" w:hanging="0"/>
        <w:jc w:val="left"/>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6245"/>
        <w:gridCol w:w="60"/>
        <w:gridCol w:w="60"/>
        <w:gridCol w:w="1055"/>
        <w:gridCol w:w="60"/>
        <w:gridCol w:w="60"/>
        <w:gridCol w:w="60"/>
        <w:gridCol w:w="1055"/>
        <w:gridCol w:w="75"/>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3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Six Months Ended June 30,</w:t>
            </w:r>
          </w:p>
        </w:tc>
        <w:tc>
          <w:tcPr>
            <w:tcW w:w="75" w:type="dxa"/>
            <w:tcBorders/>
            <w:vAlign w:val="center"/>
          </w:tcPr>
          <w:p>
            <w:pPr>
              <w:pStyle w:val="TableContents"/>
              <w:bidi w:val="0"/>
              <w:spacing w:before="0" w:after="283"/>
              <w:jc w:val="center"/>
              <w:rPr/>
            </w:pPr>
            <w:r>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Basic and diluted net profit per share calculation Numerator: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profit attributable to Tuya Inc.’s ordinary shareholders, basic and 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23,604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34,410</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Weighted-average ordinary shares outstanding-basic</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608,348,598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615,524,218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Effective of diluted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 option and RSU</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2,065,438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821,641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Weighted-average ordinary shares outstanding-diluted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610,414,036</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616,345,859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profit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Basic</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0.06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62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0.04</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0.06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7.</w:t>
            </w:r>
          </w:p>
        </w:tc>
        <w:tc>
          <w:tcPr>
            <w:tcW w:w="2930"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ACCOUNTS RECEIVABLE, NET</w:t>
            </w:r>
          </w:p>
        </w:tc>
      </w:tr>
    </w:tbl>
    <w:p>
      <w:pPr>
        <w:pStyle w:val="TextBody"/>
        <w:bidi w:val="0"/>
        <w:spacing w:before="0" w:after="283"/>
        <w:jc w:val="left"/>
        <w:rPr/>
      </w:pPr>
      <w:r>
        <w:rPr/>
        <w:t> </w:t>
      </w:r>
    </w:p>
    <w:tbl>
      <w:tblPr>
        <w:tblW w:w="4778" w:type="dxa"/>
        <w:jc w:val="left"/>
        <w:tblInd w:w="0" w:type="dxa"/>
        <w:tblLayout w:type="fixed"/>
        <w:tblCellMar>
          <w:top w:w="0" w:type="dxa"/>
          <w:left w:w="0" w:type="dxa"/>
          <w:bottom w:w="0" w:type="dxa"/>
          <w:right w:w="0" w:type="dxa"/>
        </w:tblCellMar>
      </w:tblPr>
      <w:tblGrid>
        <w:gridCol w:w="2630"/>
        <w:gridCol w:w="60"/>
        <w:gridCol w:w="103"/>
        <w:gridCol w:w="1026"/>
        <w:gridCol w:w="80"/>
        <w:gridCol w:w="60"/>
        <w:gridCol w:w="66"/>
        <w:gridCol w:w="658"/>
        <w:gridCol w:w="9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8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9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Accounts receivable, gross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17,032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18,143</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allowance for credit losses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(4,029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accounts receivable,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13,193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14,114</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Group reversed the allowance for credit losses of US$523 and recorded the allowance for credit losses of US$67, respectively, under ASU 2016-13 Financial instruments – credit losses for the six months ended June 30, 2025 and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135"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An aging analysis based on relevant invoice dates is as follows:</w:t>
      </w:r>
    </w:p>
    <w:p>
      <w:pPr>
        <w:pStyle w:val="TextBody"/>
        <w:bidi w:val="0"/>
        <w:spacing w:before="0" w:after="0"/>
        <w:ind w:left="0" w:right="0" w:hanging="0"/>
        <w:jc w:val="left"/>
        <w:rPr>
          <w:caps w:val="false"/>
          <w:smallCaps w:val="false"/>
        </w:rPr>
      </w:pPr>
      <w:r>
        <w:rPr>
          <w:caps w:val="false"/>
          <w:smallCaps w:val="false"/>
        </w:rPr>
        <w:t> </w:t>
      </w:r>
    </w:p>
    <w:tbl>
      <w:tblPr>
        <w:tblW w:w="4738" w:type="dxa"/>
        <w:jc w:val="left"/>
        <w:tblInd w:w="0" w:type="dxa"/>
        <w:tblLayout w:type="fixed"/>
        <w:tblCellMar>
          <w:top w:w="0" w:type="dxa"/>
          <w:left w:w="0" w:type="dxa"/>
          <w:bottom w:w="0" w:type="dxa"/>
          <w:right w:w="0" w:type="dxa"/>
        </w:tblCellMar>
      </w:tblPr>
      <w:tblGrid>
        <w:gridCol w:w="2630"/>
        <w:gridCol w:w="60"/>
        <w:gridCol w:w="103"/>
        <w:gridCol w:w="1026"/>
        <w:gridCol w:w="60"/>
        <w:gridCol w:w="60"/>
        <w:gridCol w:w="66"/>
        <w:gridCol w:w="658"/>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0-3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10,453</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11,501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 months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1,452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1,018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6-12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1,844</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2,109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 1 year</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3,283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3,515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accounts receivable, gross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17,032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18,143</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85"/>
        <w:gridCol w:w="2075"/>
      </w:tblGrid>
      <w:tr>
        <w:trPr/>
        <w:tc>
          <w:tcPr>
            <w:tcW w:w="185" w:type="dxa"/>
            <w:tcBorders/>
            <w:vAlign w:val="center"/>
          </w:tcPr>
          <w:p>
            <w:pPr>
              <w:pStyle w:val="TableContents"/>
              <w:bidi w:val="0"/>
              <w:spacing w:before="0" w:after="283"/>
              <w:jc w:val="left"/>
              <w:rPr>
                <w:rFonts w:ascii="Times New Roman;Times;Serif" w:hAnsi="Times New Roman;Times;Serif"/>
                <w:b/>
                <w:color w:val="231F20"/>
                <w:sz w:val="20"/>
              </w:rPr>
            </w:pPr>
            <w:r>
              <w:rPr>
                <w:rFonts w:ascii="Times New Roman;Times;Serif" w:hAnsi="Times New Roman;Times;Serif"/>
                <w:b/>
                <w:color w:val="231F20"/>
                <w:sz w:val="20"/>
              </w:rPr>
              <w:t>8.</w:t>
            </w:r>
          </w:p>
        </w:tc>
        <w:tc>
          <w:tcPr>
            <w:tcW w:w="2075" w:type="dxa"/>
            <w:tcBorders/>
            <w:vAlign w:val="center"/>
          </w:tcPr>
          <w:p>
            <w:pPr>
              <w:pStyle w:val="TableContents"/>
              <w:bidi w:val="0"/>
              <w:spacing w:before="0" w:after="283"/>
              <w:jc w:val="both"/>
              <w:rPr>
                <w:b/>
                <w:color w:val="231F20"/>
                <w:sz w:val="20"/>
              </w:rPr>
            </w:pPr>
            <w:r>
              <w:rPr>
                <w:b/>
                <w:color w:val="231F20"/>
                <w:sz w:val="20"/>
              </w:rPr>
              <w:t>ACCOUNTS PAYABLE</w:t>
            </w:r>
          </w:p>
        </w:tc>
      </w:tr>
    </w:tbl>
    <w:p>
      <w:pPr>
        <w:pStyle w:val="TextBody"/>
        <w:bidi w:val="0"/>
        <w:spacing w:before="0" w:after="283"/>
        <w:jc w:val="left"/>
        <w:rPr/>
      </w:pPr>
      <w:r>
        <w:rPr/>
        <w:t> </w:t>
      </w:r>
    </w:p>
    <w:tbl>
      <w:tblPr>
        <w:tblW w:w="4033" w:type="dxa"/>
        <w:jc w:val="left"/>
        <w:tblInd w:w="0" w:type="dxa"/>
        <w:tblLayout w:type="fixed"/>
        <w:tblCellMar>
          <w:top w:w="0" w:type="dxa"/>
          <w:left w:w="0" w:type="dxa"/>
          <w:bottom w:w="0" w:type="dxa"/>
          <w:right w:w="0" w:type="dxa"/>
        </w:tblCellMar>
      </w:tblPr>
      <w:tblGrid>
        <w:gridCol w:w="1925"/>
        <w:gridCol w:w="60"/>
        <w:gridCol w:w="103"/>
        <w:gridCol w:w="1026"/>
        <w:gridCol w:w="60"/>
        <w:gridCol w:w="60"/>
        <w:gridCol w:w="66"/>
        <w:gridCol w:w="658"/>
        <w:gridCol w:w="75"/>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accounts payable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31,778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36,776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p>
      <w:pPr>
        <w:pStyle w:val="TextBody"/>
        <w:bidi w:val="0"/>
        <w:ind w:left="720" w:right="0" w:hanging="0"/>
        <w:jc w:val="left"/>
        <w:rPr>
          <w:sz w:val="20"/>
        </w:rPr>
      </w:pPr>
      <w:r>
        <w:rPr>
          <w:sz w:val="20"/>
        </w:rPr>
        <w:t>An aging analysis based on relevant invoice dates is as follows:</w:t>
      </w:r>
    </w:p>
    <w:p>
      <w:pPr>
        <w:pStyle w:val="TextBody"/>
        <w:bidi w:val="0"/>
        <w:spacing w:before="0" w:after="283"/>
        <w:jc w:val="left"/>
        <w:rPr/>
      </w:pPr>
      <w:r>
        <w:rPr/>
        <w:t>  </w:t>
      </w:r>
    </w:p>
    <w:tbl>
      <w:tblPr>
        <w:tblW w:w="4033" w:type="dxa"/>
        <w:jc w:val="left"/>
        <w:tblInd w:w="0" w:type="dxa"/>
        <w:tblLayout w:type="fixed"/>
        <w:tblCellMar>
          <w:top w:w="0" w:type="dxa"/>
          <w:left w:w="0" w:type="dxa"/>
          <w:bottom w:w="0" w:type="dxa"/>
          <w:right w:w="0" w:type="dxa"/>
        </w:tblCellMar>
      </w:tblPr>
      <w:tblGrid>
        <w:gridCol w:w="1925"/>
        <w:gridCol w:w="60"/>
        <w:gridCol w:w="103"/>
        <w:gridCol w:w="1026"/>
        <w:gridCol w:w="60"/>
        <w:gridCol w:w="60"/>
        <w:gridCol w:w="66"/>
        <w:gridCol w:w="658"/>
        <w:gridCol w:w="75"/>
      </w:tblGrid>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As of</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As of</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December 31,</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2025</w:t>
              <w:br/>
            </w:r>
            <w:r>
              <w:rPr>
                <w:rFonts w:ascii="Times New Roman;Times;Serif" w:hAnsi="Times New Roman;Times;Serif"/>
                <w:b w:val="false"/>
                <w:i/>
                <w:caps w:val="false"/>
                <w:smallCaps w:val="false"/>
                <w:color w:val="231F20"/>
                <w:sz w:val="20"/>
              </w:rPr>
              <w:t>US$</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2026</w:t>
              <w:br/>
            </w:r>
            <w:r>
              <w:rPr>
                <w:rFonts w:ascii="Times New Roman;Times;Serif" w:hAnsi="Times New Roman;Times;Serif"/>
                <w:b/>
                <w:i/>
                <w:caps w:val="false"/>
                <w:smallCaps w:val="false"/>
                <w:color w:val="231F20"/>
                <w:sz w:val="20"/>
              </w:rPr>
              <w:t>US$</w:t>
            </w:r>
          </w:p>
        </w:tc>
        <w:tc>
          <w:tcPr>
            <w:tcW w:w="7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0-3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31,555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36,466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 months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6-12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26</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Over 1 year</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188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accounts payable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31,778</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36,776</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RECONCILIATION OF NON-GAAP MEASURES TO</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MOST DIRECTLY COMPARABLE FINANCIAL MEASURES</w:t>
      </w:r>
    </w:p>
    <w:p>
      <w:pPr>
        <w:pStyle w:val="TextBody"/>
        <w:bidi w:val="0"/>
        <w:spacing w:before="0" w:after="0"/>
        <w:ind w:left="6" w:right="0"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506" w:type="dxa"/>
        <w:jc w:val="left"/>
        <w:tblInd w:w="0" w:type="dxa"/>
        <w:tblLayout w:type="fixed"/>
        <w:tblCellMar>
          <w:top w:w="0" w:type="dxa"/>
          <w:left w:w="0" w:type="dxa"/>
          <w:bottom w:w="0" w:type="dxa"/>
          <w:right w:w="0" w:type="dxa"/>
        </w:tblCellMar>
      </w:tblPr>
      <w:tblGrid>
        <w:gridCol w:w="7010"/>
        <w:gridCol w:w="60"/>
        <w:gridCol w:w="79"/>
        <w:gridCol w:w="862"/>
        <w:gridCol w:w="245"/>
        <w:gridCol w:w="79"/>
        <w:gridCol w:w="79"/>
        <w:gridCol w:w="862"/>
        <w:gridCol w:w="230"/>
      </w:tblGrid>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w:t>
            </w:r>
          </w:p>
        </w:tc>
        <w:tc>
          <w:tcPr>
            <w:tcW w:w="23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June 30,</w:t>
              <w:br/>
              <w:t>2025</w:t>
            </w:r>
          </w:p>
        </w:tc>
        <w:tc>
          <w:tcPr>
            <w:tcW w:w="245"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br/>
              <w:t>2026</w:t>
            </w:r>
          </w:p>
        </w:tc>
        <w:tc>
          <w:tcPr>
            <w:tcW w:w="230" w:type="dxa"/>
            <w:tcBorders/>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Reconciliation of operating expenses to non-GAAP operating expenses</w:t>
            </w:r>
          </w:p>
        </w:tc>
        <w:tc>
          <w:tcPr>
            <w:tcW w:w="60" w:type="dxa"/>
            <w:tcBorders/>
            <w:shd w:fill="CCEEFF" w:val="clear"/>
            <w:vAlign w:val="center"/>
          </w:tcPr>
          <w:p>
            <w:pPr>
              <w:pStyle w:val="TableContents"/>
              <w:bidi w:val="0"/>
              <w:spacing w:before="0" w:after="283"/>
              <w:jc w:val="left"/>
              <w:rPr/>
            </w:pPr>
            <w:r>
              <w:rPr/>
              <w:t> </w:t>
            </w:r>
          </w:p>
        </w:tc>
        <w:tc>
          <w:tcPr>
            <w:tcW w:w="941" w:type="dxa"/>
            <w:gridSpan w:val="2"/>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41" w:type="dxa"/>
            <w:gridSpan w:val="2"/>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(45,183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(45,098</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3,476</w:t>
            </w:r>
          </w:p>
        </w:tc>
        <w:tc>
          <w:tcPr>
            <w:tcW w:w="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728</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Research and development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(41,707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(44,370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Sales and marketing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(16,172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(15,746</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1,320</w:t>
            </w:r>
          </w:p>
        </w:tc>
        <w:tc>
          <w:tcPr>
            <w:tcW w:w="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160</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Sales and marketing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(14,852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(15,586</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(18,315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(9,031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10,958</w:t>
            </w:r>
          </w:p>
        </w:tc>
        <w:tc>
          <w:tcPr>
            <w:tcW w:w="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342</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Credit-related impairment/(reversal) of long-term investments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w:t>
            </w:r>
          </w:p>
        </w:tc>
        <w:tc>
          <w:tcPr>
            <w:tcW w:w="2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(307</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Adjusted General and administrative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(7,330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(8,996</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Reconciliation of (loss)/profit from operations to non-GAAP profit from operations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(Loss)/profit from operations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16,780</w:t>
            </w:r>
          </w:p>
        </w:tc>
        <w:tc>
          <w:tcPr>
            <w:tcW w:w="2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15,754</w:t>
            </w:r>
          </w:p>
        </w:tc>
        <w:tc>
          <w:tcPr>
            <w:tcW w:w="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1,230</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Credit-related impairment/(reversal) of long-term investments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w:t>
            </w:r>
          </w:p>
        </w:tc>
        <w:tc>
          <w:tcPr>
            <w:tcW w:w="24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(307</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Profit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15,417</w:t>
            </w:r>
          </w:p>
        </w:tc>
        <w:tc>
          <w:tcPr>
            <w:tcW w:w="24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17,703</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Operating margin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9"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10.2</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TUYA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RECONCILIATION OF NON-GAAP MEASURES TO</w:t>
      </w:r>
    </w:p>
    <w:p>
      <w:pPr>
        <w:pStyle w:val="TextBody"/>
        <w:bidi w:val="0"/>
        <w:spacing w:before="0" w:after="0"/>
        <w:ind w:left="1470" w:right="146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THE MOST DIRECTLY COMPARABLE FINANCIAL MEASURES (CONTINUED)</w:t>
      </w:r>
    </w:p>
    <w:p>
      <w:pPr>
        <w:pStyle w:val="TextBody"/>
        <w:bidi w:val="0"/>
        <w:spacing w:before="0" w:after="0"/>
        <w:ind w:left="1470" w:right="1462" w:hanging="0"/>
        <w:jc w:val="center"/>
        <w:rPr>
          <w:caps w:val="false"/>
          <w:smallCaps w:val="false"/>
          <w:color w:val="231F20"/>
        </w:rPr>
      </w:pPr>
      <w:r>
        <w:rPr>
          <w:caps w:val="false"/>
          <w:smallCaps w:val="false"/>
          <w:color w:val="231F20"/>
        </w:rPr>
        <w:t> </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(All amounts in US$thousands (“US$”),</w:t>
      </w:r>
    </w:p>
    <w:p>
      <w:pPr>
        <w:pStyle w:val="TextBody"/>
        <w:bidi w:val="0"/>
        <w:spacing w:before="0" w:after="0"/>
        <w:ind w:left="38" w:right="33"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0"/>
        <w:gridCol w:w="60"/>
        <w:gridCol w:w="60"/>
        <w:gridCol w:w="1055"/>
        <w:gridCol w:w="185"/>
        <w:gridCol w:w="60"/>
        <w:gridCol w:w="60"/>
        <w:gridCol w:w="1055"/>
        <w:gridCol w:w="230"/>
      </w:tblGrid>
      <w:tr>
        <w:trPr/>
        <w:tc>
          <w:tcPr>
            <w:tcW w:w="7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4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Six Months Ended</w:t>
            </w:r>
          </w:p>
        </w:tc>
        <w:tc>
          <w:tcPr>
            <w:tcW w:w="230" w:type="dxa"/>
            <w:tcBorders/>
            <w:vAlign w:val="center"/>
          </w:tcPr>
          <w:p>
            <w:pPr>
              <w:pStyle w:val="TableContents"/>
              <w:bidi w:val="0"/>
              <w:spacing w:before="0" w:after="283"/>
              <w:jc w:val="center"/>
              <w:rPr/>
            </w:pPr>
            <w:r>
              <w:rPr/>
              <w:t> </w:t>
            </w:r>
          </w:p>
        </w:tc>
      </w:tr>
      <w:tr>
        <w:trPr/>
        <w:tc>
          <w:tcPr>
            <w:tcW w:w="7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June 30,</w:t>
              <w:br/>
              <w:t>2025</w:t>
            </w:r>
          </w:p>
        </w:tc>
        <w:tc>
          <w:tcPr>
            <w:tcW w:w="18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June 30,</w:t>
              <w:br/>
              <w:t>2026</w:t>
            </w:r>
          </w:p>
        </w:tc>
        <w:tc>
          <w:tcPr>
            <w:tcW w:w="23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Reconciliation of net profit to non-GAAP net profit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profit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23,604</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34,410</w:t>
            </w:r>
          </w:p>
        </w:tc>
        <w:tc>
          <w:tcPr>
            <w:tcW w:w="2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Share-based compensation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15,754</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1,230</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 Credit-related impairment/(reversal) of long-term investments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(307</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Net profit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39,385</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35,333</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Net margin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20.3</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7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Weighted average number of ordinary shares used in computing non-GAAP net profit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Basic</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608,348,598</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615,524,218</w:t>
            </w:r>
          </w:p>
        </w:tc>
        <w:tc>
          <w:tcPr>
            <w:tcW w:w="2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Diluted</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610,414,036</w:t>
            </w:r>
          </w:p>
        </w:tc>
        <w:tc>
          <w:tcPr>
            <w:tcW w:w="1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616,345,859</w:t>
            </w:r>
          </w:p>
        </w:tc>
        <w:tc>
          <w:tcPr>
            <w:tcW w:w="23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Non-GAAP net profit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Basic</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0.06</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0.06</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7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xml:space="preserve">– </w:t>
            </w:r>
            <w:r>
              <w:rPr>
                <w:rFonts w:ascii="Times New Roman;Times;Serif" w:hAnsi="Times New Roman;Times;Serif"/>
                <w:b w:val="false"/>
                <w:i w:val="false"/>
                <w:caps w:val="false"/>
                <w:smallCaps w:val="false"/>
                <w:color w:val="231F20"/>
                <w:sz w:val="20"/>
              </w:rPr>
              <w:t>Diluted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0.06</w:t>
            </w:r>
          </w:p>
        </w:tc>
        <w:tc>
          <w:tcPr>
            <w:tcW w:w="1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0.06</w:t>
            </w:r>
          </w:p>
        </w:tc>
        <w:tc>
          <w:tcPr>
            <w:tcW w:w="23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12958</Words>
  <Characters>72402</Characters>
  <CharactersWithSpaces>87844</CharactersWithSpaces>
  <Paragraphs>5717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