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Tuya Inc.</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10/F, Building A, Huace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Xihu District, Hangzhou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Zhejiang, 310012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6"/>
                <w:szCs w:val="16"/>
                <w:color w:val="auto"/>
              </w:rPr>
            </w:pPr>
          </w:p>
        </w:tc>
        <w:tc>
          <w:tcPr>
            <w:tcW w:w="10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Announcement – Poll Results of the Annual General Meeting Held on June 18, 2026</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(Alex) Yang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(Alex) Yang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Tuya Inc. Announces Results of Annual General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SANTA CLARA, Calif., June 18, 2026 -- Tuya Inc. ("Tuya" or the "Company") (NYSE: TUYA; HKEX: 2391), a global leading AI cloud platform service provider, today announced the results of its annual general meeting (the "Annual General Meeting") held at 2:00 p.m. Hong Kong time on June 18, 2026 in Hangzhou, China. The Company announced that each of the proposed resolutions submitted for shareholders' approval as set forth in the notice of Annual General Meeting dated May 13, 2026, Hong Kong time, has been adopted at the Annual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Tuya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Tuya Inc. (NYSE: TUYA; HKEX: 2391) is a global leading AI cloud platform service provider with a mission to build an AI developer ecosystem and enable everything to be smart. Tuya has pioneered a purpose-built AI cloud platform with cloud and generative AI capabilities that delivers a full suite of offerings, including Platform-as-a-Service, or PaaS, AI application &amp; others and Smart home &amp; robot products for developers of smart device, commercial applications, and industries. Through its AI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Tuya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ir@tuya.com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Haiyan LI-LABBE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hl@hl-strategy.com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tuya@thepiacentegroup.com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123190</wp:posOffset>
            </wp:positionV>
            <wp:extent cx="1011555" cy="574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15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31" w:lineRule="exact"/>
        <w:rPr>
          <w:sz w:val="20"/>
          <w:szCs w:val="20"/>
          <w:color w:val="auto"/>
        </w:rPr>
      </w:pPr>
    </w:p>
    <w:p>
      <w:pPr>
        <w:ind w:left="5220"/>
        <w:spacing w:after="0" w:line="219" w:lineRule="exact"/>
        <w:rPr>
          <w:sz w:val="20"/>
          <w:szCs w:val="20"/>
          <w:color w:val="auto"/>
        </w:rPr>
      </w:pPr>
      <w:r>
        <w:rPr>
          <w:rFonts w:ascii="PMingLiU" w:cs="PMingLiU" w:eastAsia="PMingLiU" w:hAnsi="PMingLiU"/>
          <w:sz w:val="18"/>
          <w:szCs w:val="18"/>
          <w:color w:val="auto"/>
          <w:highlight w:val="black"/>
        </w:rPr>
        <w:t>塗鴉智能</w:t>
      </w: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2391)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(NYSE Stock Ticker: TUYA)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 HELD ON JUNE 18,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References are made to the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dated May 14, 2026 and the circular to the shareholders of the Company of even date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Tuya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Unless otherwise required by the context, capitalized terms used in this announcement shall have the same meanings as defined in the Circular and the Notice.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is pleased to announce that the AGM was held at 2:00 p.m., Hong Kong time, on June 18, 2026 at Huace Center, Building A, 3/F VVIP room, Xihu District, Hangzhou City, Zhejiang Province, 310012, China.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resolutions proposed at the AGM have been duly passed. As of the Share Record Date, the total number of issued Shares was 613,369,540 Shares, comprising 543,206,907 Class A Ordinary Shares and 70,162,633 Class B Ordinary Shares, which was the total number of Shares entitling Shareholders to attend and vote in favour of, against or in abstention on the resolutions proposed at the AGM. Our Depositary, which held 253,461 Class A Ordinary Shares issued for satisfying any future exercise or vesting of awards granted under the 2015 Equity Incentive Plan and 2024 Share Scheme, abstained from voting on all resolutions at the AGM in respect of such Class A Ordinary Shares in accordance with Rule 17.05A of the Listing Rules. Save as disclosed above, there was no Shareholder who was required to abstain from voting under the Listing Rules on any resolution proposed at the AGM, nor any Shareholder who was entitled to attend the AGM but was required to abstain from voting in favour of any resolution proposed at the AGM pursuant to Rule 13.40 of the Listing Rules. No Shareholder has indicated in the Circular that he or she intends to vote against or in abstention in respect of any resolution proposed at the AGM.</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total number of Shares entitling the holder to attend and vote on the resolutions numbered 1 to 6 proposed at the AGM was 613,116,079 Shares, comprising 542,953,446 Class A Ordinary Shares and 70,162,633 Class B Ordinary Shares. As at the date of this announcement, there were (i) no treasury shares held by the Company (including any treasury shares held or deposited with CCASS), and (ii) no repurchased Shares (including Class A Ordinary Shares and Class B Ordinary Shares) which are pending cancellation and should be excluded from the total number of issued Shares for the purpose of the AGM.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According to the Company’s tenth amended and restated memorandum and articles of association:</w:t>
      </w:r>
    </w:p>
    <w:p>
      <w:pPr>
        <w:spacing w:after="0" w:line="225" w:lineRule="exact"/>
        <w:rPr>
          <w:sz w:val="20"/>
          <w:szCs w:val="20"/>
          <w:color w:val="auto"/>
        </w:rPr>
      </w:pPr>
    </w:p>
    <w:p>
      <w:pPr>
        <w:ind w:left="500" w:right="12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resolutions numbered 1, 2(a)(i), 2(b), 3, 4 and 5, each Class A Ordinary Share shall entitle its holder to one vote and each Class B Ordinary Share shall entitle its holder to ten votes on a poll at the AGM;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resolutions numbered 2(a)(ii), 2(a)(iii) and 6, each Class A Ordinary Share and each Class B Ordinary Share shall entitle its holder to one vote on a poll at the AGM.</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the Listing Rules, voting on the resolutions proposed at the AGM was conducted by way of poll. The voting results in respect of the resolutions proposed at the AGM are set out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80" w:type="dxa"/>
            <w:vAlign w:val="bottom"/>
            <w:tcBorders>
              <w:top w:val="single" w:sz="8" w:color="231F20"/>
              <w:left w:val="single" w:sz="8" w:color="231F20"/>
            </w:tcBorders>
          </w:tcPr>
          <w:p>
            <w:pPr>
              <w:spacing w:after="0"/>
              <w:rPr>
                <w:sz w:val="20"/>
                <w:szCs w:val="20"/>
                <w:color w:val="auto"/>
              </w:rPr>
            </w:pPr>
          </w:p>
        </w:tc>
        <w:tc>
          <w:tcPr>
            <w:tcW w:w="3200" w:type="dxa"/>
            <w:vAlign w:val="bottom"/>
            <w:tcBorders>
              <w:top w:val="single" w:sz="8" w:color="231F20"/>
            </w:tcBorders>
          </w:tcPr>
          <w:p>
            <w:pPr>
              <w:spacing w:after="0"/>
              <w:rPr>
                <w:sz w:val="20"/>
                <w:szCs w:val="20"/>
                <w:color w:val="auto"/>
              </w:rPr>
            </w:pPr>
          </w:p>
        </w:tc>
        <w:tc>
          <w:tcPr>
            <w:tcW w:w="1340" w:type="dxa"/>
            <w:vAlign w:val="bottom"/>
            <w:tcBorders>
              <w:top w:val="single" w:sz="8" w:color="231F20"/>
              <w:right w:val="single" w:sz="8" w:color="231F20"/>
            </w:tcBorders>
          </w:tcPr>
          <w:p>
            <w:pPr>
              <w:spacing w:after="0"/>
              <w:rPr>
                <w:sz w:val="20"/>
                <w:szCs w:val="20"/>
                <w:color w:val="auto"/>
              </w:rPr>
            </w:pPr>
          </w:p>
        </w:tc>
        <w:tc>
          <w:tcPr>
            <w:tcW w:w="2980" w:type="dxa"/>
            <w:vAlign w:val="bottom"/>
            <w:tcBorders>
              <w:top w:val="single" w:sz="8" w:color="231F20"/>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620" w:type="dxa"/>
            <w:vAlign w:val="bottom"/>
            <w:tcBorders>
              <w:top w:val="single" w:sz="8" w:color="231F20"/>
              <w:right w:val="single" w:sz="8" w:color="231F20"/>
            </w:tcBorders>
          </w:tcPr>
          <w:p>
            <w:pPr>
              <w:spacing w:after="0"/>
              <w:rPr>
                <w:sz w:val="20"/>
                <w:szCs w:val="20"/>
                <w:color w:val="auto"/>
              </w:rPr>
            </w:pPr>
          </w:p>
        </w:tc>
        <w:tc>
          <w:tcPr>
            <w:tcW w:w="120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12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r>
      <w:tr>
        <w:trPr>
          <w:trHeight w:val="238"/>
        </w:trPr>
        <w:tc>
          <w:tcPr>
            <w:tcW w:w="680" w:type="dxa"/>
            <w:vAlign w:val="bottom"/>
            <w:tcBorders>
              <w:left w:val="single" w:sz="8" w:color="231F20"/>
            </w:tcBorders>
          </w:tcPr>
          <w:p>
            <w:pPr>
              <w:spacing w:after="0"/>
              <w:rPr>
                <w:sz w:val="20"/>
                <w:szCs w:val="20"/>
                <w:color w:val="auto"/>
              </w:rPr>
            </w:pPr>
          </w:p>
        </w:tc>
        <w:tc>
          <w:tcPr>
            <w:tcW w:w="320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2980" w:type="dxa"/>
            <w:vAlign w:val="bottom"/>
            <w:tcBorders>
              <w:bottom w:val="single" w:sz="8" w:color="231F20"/>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AND PERCENTAGE (%)</w:t>
            </w: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74"/>
        </w:trPr>
        <w:tc>
          <w:tcPr>
            <w:tcW w:w="680" w:type="dxa"/>
            <w:vAlign w:val="bottom"/>
            <w:tcBorders>
              <w:left w:val="single" w:sz="8" w:color="231F20"/>
            </w:tcBorders>
          </w:tcPr>
          <w:p>
            <w:pPr>
              <w:spacing w:after="0"/>
              <w:rPr>
                <w:sz w:val="15"/>
                <w:szCs w:val="15"/>
                <w:color w:val="auto"/>
              </w:rPr>
            </w:pPr>
          </w:p>
        </w:tc>
        <w:tc>
          <w:tcPr>
            <w:tcW w:w="3200" w:type="dxa"/>
            <w:vAlign w:val="bottom"/>
          </w:tcPr>
          <w:p>
            <w:pPr>
              <w:ind w:left="760"/>
              <w:spacing w:after="0" w:line="174" w:lineRule="exact"/>
              <w:rPr>
                <w:sz w:val="20"/>
                <w:szCs w:val="20"/>
                <w:color w:val="auto"/>
              </w:rPr>
            </w:pPr>
            <w:r>
              <w:rPr>
                <w:rFonts w:ascii="Times New Roman" w:cs="Times New Roman" w:eastAsia="Times New Roman" w:hAnsi="Times New Roman"/>
                <w:sz w:val="18"/>
                <w:szCs w:val="18"/>
                <w:b w:val="1"/>
                <w:bCs w:val="1"/>
                <w:color w:val="auto"/>
              </w:rPr>
              <w:t>ORDINARY RESOLUTIONS</w:t>
            </w:r>
          </w:p>
        </w:tc>
        <w:tc>
          <w:tcPr>
            <w:tcW w:w="1340" w:type="dxa"/>
            <w:vAlign w:val="bottom"/>
            <w:tcBorders>
              <w:right w:val="single" w:sz="8" w:color="231F20"/>
            </w:tcBorders>
          </w:tcPr>
          <w:p>
            <w:pPr>
              <w:spacing w:after="0"/>
              <w:rPr>
                <w:sz w:val="15"/>
                <w:szCs w:val="15"/>
                <w:color w:val="auto"/>
              </w:rPr>
            </w:pPr>
          </w:p>
        </w:tc>
        <w:tc>
          <w:tcPr>
            <w:tcW w:w="134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Borders>
              <w:right w:val="single" w:sz="8" w:color="231F20"/>
            </w:tcBorders>
          </w:tcPr>
          <w:p>
            <w:pPr>
              <w:spacing w:after="0"/>
              <w:rPr>
                <w:sz w:val="15"/>
                <w:szCs w:val="15"/>
                <w:color w:val="auto"/>
              </w:rPr>
            </w:pPr>
          </w:p>
        </w:tc>
        <w:tc>
          <w:tcPr>
            <w:tcW w:w="120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 VOTING</w:t>
            </w:r>
          </w:p>
        </w:tc>
        <w:tc>
          <w:tcPr>
            <w:tcW w:w="122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 VOTES</w:t>
            </w:r>
          </w:p>
        </w:tc>
      </w:tr>
      <w:tr>
        <w:trPr>
          <w:trHeight w:val="306"/>
        </w:trPr>
        <w:tc>
          <w:tcPr>
            <w:tcW w:w="680" w:type="dxa"/>
            <w:vAlign w:val="bottom"/>
            <w:tcBorders>
              <w:left w:val="single" w:sz="8" w:color="231F20"/>
              <w:bottom w:val="single" w:sz="8" w:color="231F20"/>
            </w:tcBorders>
          </w:tcPr>
          <w:p>
            <w:pPr>
              <w:spacing w:after="0"/>
              <w:rPr>
                <w:sz w:val="24"/>
                <w:szCs w:val="24"/>
                <w:color w:val="auto"/>
              </w:rPr>
            </w:pPr>
          </w:p>
        </w:tc>
        <w:tc>
          <w:tcPr>
            <w:tcW w:w="3200" w:type="dxa"/>
            <w:vAlign w:val="bottom"/>
            <w:tcBorders>
              <w:bottom w:val="single" w:sz="8" w:color="231F20"/>
            </w:tcBorders>
          </w:tcPr>
          <w:p>
            <w:pPr>
              <w:spacing w:after="0"/>
              <w:rPr>
                <w:sz w:val="24"/>
                <w:szCs w:val="24"/>
                <w:color w:val="auto"/>
              </w:rPr>
            </w:pPr>
          </w:p>
        </w:tc>
        <w:tc>
          <w:tcPr>
            <w:tcW w:w="1340" w:type="dxa"/>
            <w:vAlign w:val="bottom"/>
            <w:tcBorders>
              <w:bottom w:val="single" w:sz="8" w:color="231F20"/>
              <w:right w:val="single" w:sz="8" w:color="231F20"/>
            </w:tcBorders>
          </w:tcPr>
          <w:p>
            <w:pPr>
              <w:spacing w:after="0"/>
              <w:rPr>
                <w:sz w:val="24"/>
                <w:szCs w:val="24"/>
                <w:color w:val="auto"/>
              </w:rPr>
            </w:pPr>
          </w:p>
        </w:tc>
        <w:tc>
          <w:tcPr>
            <w:tcW w:w="1340" w:type="dxa"/>
            <w:vAlign w:val="bottom"/>
            <w:tcBorders>
              <w:bottom w:val="single" w:sz="8" w:color="231F20"/>
              <w:right w:val="single" w:sz="8" w:color="231F20"/>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20" w:type="dxa"/>
            <w:vAlign w:val="bottom"/>
            <w:tcBorders>
              <w:bottom w:val="single" w:sz="8" w:color="231F20"/>
              <w:right w:val="single" w:sz="8" w:color="231F20"/>
            </w:tcBorders>
            <w:gridSpan w:val="2"/>
          </w:tcPr>
          <w:p>
            <w:pPr>
              <w:ind w:left="120"/>
              <w:spacing w:after="0" w:line="306" w:lineRule="exact"/>
              <w:rPr>
                <w:sz w:val="20"/>
                <w:szCs w:val="20"/>
                <w:color w:val="auto"/>
              </w:rPr>
            </w:pPr>
            <w:r>
              <w:rPr>
                <w:rFonts w:ascii="Times New Roman" w:cs="Times New Roman" w:eastAsia="Times New Roman" w:hAnsi="Times New Roman"/>
                <w:sz w:val="18"/>
                <w:szCs w:val="18"/>
                <w:b w:val="1"/>
                <w:bCs w:val="1"/>
                <w:color w:val="auto"/>
                <w:w w:val="95"/>
              </w:rPr>
              <w:t>ABSTAIN</w:t>
            </w:r>
            <w:r>
              <w:rPr>
                <w:rFonts w:ascii="Times New Roman" w:cs="Times New Roman" w:eastAsia="Times New Roman" w:hAnsi="Times New Roman"/>
                <w:sz w:val="29"/>
                <w:szCs w:val="29"/>
                <w:b w:val="1"/>
                <w:bCs w:val="1"/>
                <w:color w:val="auto"/>
                <w:w w:val="95"/>
                <w:vertAlign w:val="superscript"/>
              </w:rPr>
              <w:t>1</w:t>
            </w:r>
          </w:p>
        </w:tc>
        <w:tc>
          <w:tcPr>
            <w:tcW w:w="12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r>
      <w:tr>
        <w:trPr>
          <w:trHeight w:val="191"/>
        </w:trPr>
        <w:tc>
          <w:tcPr>
            <w:tcW w:w="680" w:type="dxa"/>
            <w:vAlign w:val="bottom"/>
            <w:tcBorders>
              <w:left w:val="single" w:sz="8" w:color="231F20"/>
              <w:right w:val="single" w:sz="8" w:color="231F20"/>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2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receive,  consider,  and  adopt  the</w:t>
            </w:r>
          </w:p>
        </w:tc>
        <w:tc>
          <w:tcPr>
            <w:tcW w:w="134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r>
      <w:tr>
        <w:trPr>
          <w:trHeight w:val="243"/>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Ordinary</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34"/>
        </w:trPr>
        <w:tc>
          <w:tcPr>
            <w:tcW w:w="680" w:type="dxa"/>
            <w:vAlign w:val="bottom"/>
            <w:tcBorders>
              <w:left w:val="single" w:sz="8" w:color="231F20"/>
              <w:right w:val="single" w:sz="8" w:color="231F20"/>
            </w:tcBorders>
          </w:tcPr>
          <w:p>
            <w:pPr>
              <w:spacing w:after="0"/>
              <w:rPr>
                <w:sz w:val="20"/>
                <w:szCs w:val="20"/>
                <w:color w:val="auto"/>
              </w:rPr>
            </w:pPr>
          </w:p>
        </w:tc>
        <w:tc>
          <w:tcPr>
            <w:tcW w:w="32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of the Company as of and for the year</w:t>
            </w: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183"/>
        </w:trPr>
        <w:tc>
          <w:tcPr>
            <w:tcW w:w="680" w:type="dxa"/>
            <w:vAlign w:val="bottom"/>
            <w:tcBorders>
              <w:left w:val="single" w:sz="8" w:color="231F20"/>
              <w:right w:val="single" w:sz="8" w:color="231F20"/>
            </w:tcBorders>
          </w:tcPr>
          <w:p>
            <w:pPr>
              <w:spacing w:after="0"/>
              <w:rPr>
                <w:sz w:val="15"/>
                <w:szCs w:val="15"/>
                <w:color w:val="auto"/>
              </w:rPr>
            </w:pPr>
          </w:p>
        </w:tc>
        <w:tc>
          <w:tcPr>
            <w:tcW w:w="3200" w:type="dxa"/>
            <w:vAlign w:val="bottom"/>
            <w:tcBorders>
              <w:right w:val="single" w:sz="8" w:color="231F20"/>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ended December 31, 2025 and the report</w:t>
            </w:r>
          </w:p>
        </w:tc>
        <w:tc>
          <w:tcPr>
            <w:tcW w:w="1340" w:type="dxa"/>
            <w:vAlign w:val="bottom"/>
            <w:tcBorders>
              <w:right w:val="single" w:sz="8" w:color="231F20"/>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Class B</w:t>
            </w:r>
          </w:p>
        </w:tc>
        <w:tc>
          <w:tcPr>
            <w:tcW w:w="13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70,162,633</w:t>
            </w:r>
          </w:p>
        </w:tc>
        <w:tc>
          <w:tcPr>
            <w:tcW w:w="12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r>
      <w:tr>
        <w:trPr>
          <w:trHeight w:val="252"/>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of the auditor thereon.</w:t>
            </w: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Ordinary</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34"/>
        </w:trPr>
        <w:tc>
          <w:tcPr>
            <w:tcW w:w="680" w:type="dxa"/>
            <w:vAlign w:val="bottom"/>
            <w:tcBorders>
              <w:left w:val="single" w:sz="8" w:color="231F20"/>
              <w:right w:val="single" w:sz="8" w:color="231F20"/>
            </w:tcBorders>
          </w:tcPr>
          <w:p>
            <w:pPr>
              <w:spacing w:after="0"/>
              <w:rPr>
                <w:sz w:val="20"/>
                <w:szCs w:val="20"/>
                <w:color w:val="auto"/>
              </w:rPr>
            </w:pPr>
          </w:p>
        </w:tc>
        <w:tc>
          <w:tcPr>
            <w:tcW w:w="3200" w:type="dxa"/>
            <w:vAlign w:val="bottom"/>
            <w:tcBorders>
              <w:right w:val="single" w:sz="8" w:color="231F20"/>
            </w:tcBorders>
          </w:tcPr>
          <w:p>
            <w:pPr>
              <w:spacing w:after="0"/>
              <w:rPr>
                <w:sz w:val="20"/>
                <w:szCs w:val="20"/>
                <w:color w:val="auto"/>
              </w:rPr>
            </w:pP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191"/>
        </w:trPr>
        <w:tc>
          <w:tcPr>
            <w:tcW w:w="680" w:type="dxa"/>
            <w:vAlign w:val="bottom"/>
            <w:tcBorders>
              <w:left w:val="single" w:sz="8" w:color="231F20"/>
              <w:right w:val="single" w:sz="8" w:color="231F20"/>
            </w:tcBorders>
          </w:tcPr>
          <w:p>
            <w:pPr>
              <w:spacing w:after="0"/>
              <w:rPr>
                <w:sz w:val="16"/>
                <w:szCs w:val="16"/>
                <w:color w:val="auto"/>
              </w:rPr>
            </w:pPr>
          </w:p>
        </w:tc>
        <w:tc>
          <w:tcPr>
            <w:tcW w:w="3200" w:type="dxa"/>
            <w:vAlign w:val="bottom"/>
            <w:tcBorders>
              <w:right w:val="single" w:sz="8" w:color="231F20"/>
            </w:tcBorders>
          </w:tcPr>
          <w:p>
            <w:pPr>
              <w:spacing w:after="0"/>
              <w:rPr>
                <w:sz w:val="16"/>
                <w:szCs w:val="16"/>
                <w:color w:val="auto"/>
              </w:rPr>
            </w:pPr>
          </w:p>
        </w:tc>
        <w:tc>
          <w:tcPr>
            <w:tcW w:w="134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r>
      <w:tr>
        <w:trPr>
          <w:trHeight w:val="243"/>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16"/>
        </w:trPr>
        <w:tc>
          <w:tcPr>
            <w:tcW w:w="680" w:type="dxa"/>
            <w:vAlign w:val="bottom"/>
            <w:tcBorders>
              <w:left w:val="single" w:sz="8" w:color="231F20"/>
              <w:right w:val="single" w:sz="8" w:color="231F20"/>
            </w:tcBorders>
          </w:tcPr>
          <w:p>
            <w:pPr>
              <w:spacing w:after="0"/>
              <w:rPr>
                <w:sz w:val="18"/>
                <w:szCs w:val="18"/>
                <w:color w:val="auto"/>
              </w:rPr>
            </w:pPr>
          </w:p>
        </w:tc>
        <w:tc>
          <w:tcPr>
            <w:tcW w:w="320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(CLASS A &amp;</w:t>
            </w:r>
          </w:p>
        </w:tc>
        <w:tc>
          <w:tcPr>
            <w:tcW w:w="13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r>
      <w:tr>
        <w:trPr>
          <w:trHeight w:val="234"/>
        </w:trPr>
        <w:tc>
          <w:tcPr>
            <w:tcW w:w="680" w:type="dxa"/>
            <w:vAlign w:val="bottom"/>
            <w:tcBorders>
              <w:left w:val="single" w:sz="8" w:color="231F20"/>
              <w:bottom w:val="single" w:sz="8" w:color="231F20"/>
              <w:right w:val="single" w:sz="8" w:color="231F20"/>
            </w:tcBorders>
          </w:tcPr>
          <w:p>
            <w:pPr>
              <w:spacing w:after="0"/>
              <w:rPr>
                <w:sz w:val="20"/>
                <w:szCs w:val="20"/>
                <w:color w:val="auto"/>
              </w:rPr>
            </w:pPr>
          </w:p>
        </w:tc>
        <w:tc>
          <w:tcPr>
            <w:tcW w:w="3200" w:type="dxa"/>
            <w:vAlign w:val="bottom"/>
            <w:tcBorders>
              <w:bottom w:val="single" w:sz="8" w:color="231F20"/>
              <w:right w:val="single" w:sz="8" w:color="231F20"/>
            </w:tcBorders>
          </w:tcPr>
          <w:p>
            <w:pPr>
              <w:spacing w:after="0"/>
              <w:rPr>
                <w:sz w:val="20"/>
                <w:szCs w:val="20"/>
                <w:color w:val="auto"/>
              </w:rPr>
            </w:pP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CLASS B)</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218"/>
        </w:trPr>
        <w:tc>
          <w:tcPr>
            <w:tcW w:w="680" w:type="dxa"/>
            <w:vAlign w:val="bottom"/>
            <w:tcBorders>
              <w:left w:val="single" w:sz="8" w:color="231F20"/>
              <w:right w:val="single" w:sz="8" w:color="231F20"/>
            </w:tcBorders>
          </w:tcPr>
          <w:p>
            <w:pPr>
              <w:spacing w:after="0"/>
              <w:rPr>
                <w:sz w:val="18"/>
                <w:szCs w:val="18"/>
                <w:color w:val="auto"/>
              </w:rPr>
            </w:pPr>
          </w:p>
        </w:tc>
        <w:tc>
          <w:tcPr>
            <w:tcW w:w="10560" w:type="dxa"/>
            <w:vAlign w:val="bottom"/>
            <w:tcBorders>
              <w:right w:val="single" w:sz="8" w:color="231F20"/>
            </w:tcBorders>
            <w:gridSpan w:val="8"/>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r>
      <w:tr>
        <w:trPr>
          <w:trHeight w:val="234"/>
        </w:trPr>
        <w:tc>
          <w:tcPr>
            <w:tcW w:w="680" w:type="dxa"/>
            <w:vAlign w:val="bottom"/>
            <w:tcBorders>
              <w:left w:val="single" w:sz="8" w:color="231F20"/>
              <w:bottom w:val="single" w:sz="8" w:color="231F20"/>
              <w:right w:val="single" w:sz="8" w:color="231F20"/>
            </w:tcBorders>
          </w:tcPr>
          <w:p>
            <w:pPr>
              <w:spacing w:after="0"/>
              <w:rPr>
                <w:sz w:val="20"/>
                <w:szCs w:val="20"/>
                <w:color w:val="auto"/>
              </w:rPr>
            </w:pPr>
          </w:p>
        </w:tc>
        <w:tc>
          <w:tcPr>
            <w:tcW w:w="320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4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191"/>
        </w:trPr>
        <w:tc>
          <w:tcPr>
            <w:tcW w:w="680" w:type="dxa"/>
            <w:vAlign w:val="bottom"/>
            <w:tcBorders>
              <w:left w:val="single" w:sz="8" w:color="231F20"/>
              <w:right w:val="single" w:sz="8" w:color="231F20"/>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2.(a)(i)</w:t>
            </w:r>
          </w:p>
        </w:tc>
        <w:tc>
          <w:tcPr>
            <w:tcW w:w="32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re-elect Mr. CHEN Liaohan as an</w:t>
            </w:r>
          </w:p>
        </w:tc>
        <w:tc>
          <w:tcPr>
            <w:tcW w:w="134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r>
      <w:tr>
        <w:trPr>
          <w:trHeight w:val="243"/>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executive Director.</w:t>
            </w: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Ordinary</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34"/>
        </w:trPr>
        <w:tc>
          <w:tcPr>
            <w:tcW w:w="680" w:type="dxa"/>
            <w:vAlign w:val="bottom"/>
            <w:tcBorders>
              <w:left w:val="single" w:sz="8" w:color="231F20"/>
              <w:right w:val="single" w:sz="8" w:color="231F20"/>
            </w:tcBorders>
          </w:tcPr>
          <w:p>
            <w:pPr>
              <w:spacing w:after="0"/>
              <w:rPr>
                <w:sz w:val="20"/>
                <w:szCs w:val="20"/>
                <w:color w:val="auto"/>
              </w:rPr>
            </w:pPr>
          </w:p>
        </w:tc>
        <w:tc>
          <w:tcPr>
            <w:tcW w:w="3200" w:type="dxa"/>
            <w:vAlign w:val="bottom"/>
            <w:tcBorders>
              <w:right w:val="single" w:sz="8" w:color="231F20"/>
            </w:tcBorders>
          </w:tcPr>
          <w:p>
            <w:pPr>
              <w:spacing w:after="0"/>
              <w:rPr>
                <w:sz w:val="20"/>
                <w:szCs w:val="20"/>
                <w:color w:val="auto"/>
              </w:rPr>
            </w:pP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191"/>
        </w:trPr>
        <w:tc>
          <w:tcPr>
            <w:tcW w:w="680" w:type="dxa"/>
            <w:vAlign w:val="bottom"/>
            <w:tcBorders>
              <w:left w:val="single" w:sz="8" w:color="231F20"/>
              <w:right w:val="single" w:sz="8" w:color="231F20"/>
            </w:tcBorders>
          </w:tcPr>
          <w:p>
            <w:pPr>
              <w:spacing w:after="0"/>
              <w:rPr>
                <w:sz w:val="16"/>
                <w:szCs w:val="16"/>
                <w:color w:val="auto"/>
              </w:rPr>
            </w:pPr>
          </w:p>
        </w:tc>
        <w:tc>
          <w:tcPr>
            <w:tcW w:w="3200" w:type="dxa"/>
            <w:vAlign w:val="bottom"/>
            <w:tcBorders>
              <w:right w:val="single" w:sz="8" w:color="231F20"/>
            </w:tcBorders>
          </w:tcPr>
          <w:p>
            <w:pPr>
              <w:spacing w:after="0"/>
              <w:rPr>
                <w:sz w:val="16"/>
                <w:szCs w:val="16"/>
                <w:color w:val="auto"/>
              </w:rPr>
            </w:pPr>
          </w:p>
        </w:tc>
        <w:tc>
          <w:tcPr>
            <w:tcW w:w="134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3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70,162,633</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701,626,330</w:t>
            </w:r>
          </w:p>
        </w:tc>
      </w:tr>
      <w:tr>
        <w:trPr>
          <w:trHeight w:val="243"/>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Ordinary</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34"/>
        </w:trPr>
        <w:tc>
          <w:tcPr>
            <w:tcW w:w="680" w:type="dxa"/>
            <w:vAlign w:val="bottom"/>
            <w:tcBorders>
              <w:left w:val="single" w:sz="8" w:color="231F20"/>
              <w:right w:val="single" w:sz="8" w:color="231F20"/>
            </w:tcBorders>
          </w:tcPr>
          <w:p>
            <w:pPr>
              <w:spacing w:after="0"/>
              <w:rPr>
                <w:sz w:val="20"/>
                <w:szCs w:val="20"/>
                <w:color w:val="auto"/>
              </w:rPr>
            </w:pPr>
          </w:p>
        </w:tc>
        <w:tc>
          <w:tcPr>
            <w:tcW w:w="3200" w:type="dxa"/>
            <w:vAlign w:val="bottom"/>
            <w:tcBorders>
              <w:right w:val="single" w:sz="8" w:color="231F20"/>
            </w:tcBorders>
          </w:tcPr>
          <w:p>
            <w:pPr>
              <w:spacing w:after="0"/>
              <w:rPr>
                <w:sz w:val="20"/>
                <w:szCs w:val="20"/>
                <w:color w:val="auto"/>
              </w:rPr>
            </w:pP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191"/>
        </w:trPr>
        <w:tc>
          <w:tcPr>
            <w:tcW w:w="680" w:type="dxa"/>
            <w:vAlign w:val="bottom"/>
            <w:tcBorders>
              <w:left w:val="single" w:sz="8" w:color="231F20"/>
              <w:right w:val="single" w:sz="8" w:color="231F20"/>
            </w:tcBorders>
          </w:tcPr>
          <w:p>
            <w:pPr>
              <w:spacing w:after="0"/>
              <w:rPr>
                <w:sz w:val="16"/>
                <w:szCs w:val="16"/>
                <w:color w:val="auto"/>
              </w:rPr>
            </w:pPr>
          </w:p>
        </w:tc>
        <w:tc>
          <w:tcPr>
            <w:tcW w:w="3200" w:type="dxa"/>
            <w:vAlign w:val="bottom"/>
            <w:tcBorders>
              <w:right w:val="single" w:sz="8" w:color="231F20"/>
            </w:tcBorders>
          </w:tcPr>
          <w:p>
            <w:pPr>
              <w:spacing w:after="0"/>
              <w:rPr>
                <w:sz w:val="16"/>
                <w:szCs w:val="16"/>
                <w:color w:val="auto"/>
              </w:rPr>
            </w:pPr>
          </w:p>
        </w:tc>
        <w:tc>
          <w:tcPr>
            <w:tcW w:w="134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r>
      <w:tr>
        <w:trPr>
          <w:trHeight w:val="243"/>
        </w:trPr>
        <w:tc>
          <w:tcPr>
            <w:tcW w:w="680" w:type="dxa"/>
            <w:vAlign w:val="bottom"/>
            <w:tcBorders>
              <w:left w:val="single" w:sz="8" w:color="231F20"/>
              <w:right w:val="single" w:sz="8" w:color="231F20"/>
            </w:tcBorders>
          </w:tcPr>
          <w:p>
            <w:pPr>
              <w:spacing w:after="0"/>
              <w:rPr>
                <w:sz w:val="21"/>
                <w:szCs w:val="21"/>
                <w:color w:val="auto"/>
              </w:rPr>
            </w:pPr>
          </w:p>
        </w:tc>
        <w:tc>
          <w:tcPr>
            <w:tcW w:w="3200" w:type="dxa"/>
            <w:vAlign w:val="bottom"/>
            <w:tcBorders>
              <w:right w:val="single" w:sz="8" w:color="231F20"/>
            </w:tcBorders>
          </w:tcPr>
          <w:p>
            <w:pPr>
              <w:spacing w:after="0"/>
              <w:rPr>
                <w:sz w:val="21"/>
                <w:szCs w:val="21"/>
                <w:color w:val="auto"/>
              </w:rPr>
            </w:pP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3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220" w:type="dxa"/>
            <w:vAlign w:val="bottom"/>
            <w:tcBorders>
              <w:right w:val="single" w:sz="8" w:color="231F20"/>
            </w:tcBorders>
          </w:tcPr>
          <w:p>
            <w:pPr>
              <w:spacing w:after="0"/>
              <w:rPr>
                <w:sz w:val="21"/>
                <w:szCs w:val="21"/>
                <w:color w:val="auto"/>
              </w:rPr>
            </w:pPr>
          </w:p>
        </w:tc>
      </w:tr>
      <w:tr>
        <w:trPr>
          <w:trHeight w:val="216"/>
        </w:trPr>
        <w:tc>
          <w:tcPr>
            <w:tcW w:w="680" w:type="dxa"/>
            <w:vAlign w:val="bottom"/>
            <w:tcBorders>
              <w:left w:val="single" w:sz="8" w:color="231F20"/>
              <w:right w:val="single" w:sz="8" w:color="231F20"/>
            </w:tcBorders>
          </w:tcPr>
          <w:p>
            <w:pPr>
              <w:spacing w:after="0"/>
              <w:rPr>
                <w:sz w:val="18"/>
                <w:szCs w:val="18"/>
                <w:color w:val="auto"/>
              </w:rPr>
            </w:pPr>
          </w:p>
        </w:tc>
        <w:tc>
          <w:tcPr>
            <w:tcW w:w="3200" w:type="dxa"/>
            <w:vAlign w:val="bottom"/>
            <w:tcBorders>
              <w:right w:val="single" w:sz="8" w:color="231F20"/>
            </w:tcBorders>
          </w:tcPr>
          <w:p>
            <w:pPr>
              <w:spacing w:after="0"/>
              <w:rPr>
                <w:sz w:val="18"/>
                <w:szCs w:val="18"/>
                <w:color w:val="auto"/>
              </w:rPr>
            </w:pPr>
          </w:p>
        </w:tc>
        <w:tc>
          <w:tcPr>
            <w:tcW w:w="13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(CLASS A &amp;</w:t>
            </w:r>
          </w:p>
        </w:tc>
        <w:tc>
          <w:tcPr>
            <w:tcW w:w="13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r>
      <w:tr>
        <w:trPr>
          <w:trHeight w:val="234"/>
        </w:trPr>
        <w:tc>
          <w:tcPr>
            <w:tcW w:w="680" w:type="dxa"/>
            <w:vAlign w:val="bottom"/>
            <w:tcBorders>
              <w:left w:val="single" w:sz="8" w:color="231F20"/>
              <w:bottom w:val="single" w:sz="8" w:color="231F20"/>
              <w:right w:val="single" w:sz="8" w:color="231F20"/>
            </w:tcBorders>
          </w:tcPr>
          <w:p>
            <w:pPr>
              <w:spacing w:after="0"/>
              <w:rPr>
                <w:sz w:val="20"/>
                <w:szCs w:val="20"/>
                <w:color w:val="auto"/>
              </w:rPr>
            </w:pPr>
          </w:p>
        </w:tc>
        <w:tc>
          <w:tcPr>
            <w:tcW w:w="3200" w:type="dxa"/>
            <w:vAlign w:val="bottom"/>
            <w:tcBorders>
              <w:bottom w:val="single" w:sz="8" w:color="231F20"/>
              <w:right w:val="single" w:sz="8" w:color="231F20"/>
            </w:tcBorders>
          </w:tcPr>
          <w:p>
            <w:pPr>
              <w:spacing w:after="0"/>
              <w:rPr>
                <w:sz w:val="20"/>
                <w:szCs w:val="20"/>
                <w:color w:val="auto"/>
              </w:rPr>
            </w:pPr>
          </w:p>
        </w:tc>
        <w:tc>
          <w:tcPr>
            <w:tcW w:w="134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CLASS B)</w:t>
            </w:r>
          </w:p>
        </w:tc>
        <w:tc>
          <w:tcPr>
            <w:tcW w:w="13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218"/>
        </w:trPr>
        <w:tc>
          <w:tcPr>
            <w:tcW w:w="680" w:type="dxa"/>
            <w:vAlign w:val="bottom"/>
            <w:tcBorders>
              <w:left w:val="single" w:sz="8" w:color="231F20"/>
              <w:right w:val="single" w:sz="8" w:color="231F20"/>
            </w:tcBorders>
          </w:tcPr>
          <w:p>
            <w:pPr>
              <w:spacing w:after="0"/>
              <w:rPr>
                <w:sz w:val="18"/>
                <w:szCs w:val="18"/>
                <w:color w:val="auto"/>
              </w:rPr>
            </w:pPr>
          </w:p>
        </w:tc>
        <w:tc>
          <w:tcPr>
            <w:tcW w:w="10560" w:type="dxa"/>
            <w:vAlign w:val="bottom"/>
            <w:tcBorders>
              <w:right w:val="single" w:sz="8" w:color="231F20"/>
            </w:tcBorders>
            <w:gridSpan w:val="8"/>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r>
      <w:tr>
        <w:trPr>
          <w:trHeight w:val="234"/>
        </w:trPr>
        <w:tc>
          <w:tcPr>
            <w:tcW w:w="680" w:type="dxa"/>
            <w:vAlign w:val="bottom"/>
            <w:tcBorders>
              <w:left w:val="single" w:sz="8" w:color="231F20"/>
              <w:bottom w:val="single" w:sz="8" w:color="231F20"/>
              <w:right w:val="single" w:sz="8" w:color="231F20"/>
            </w:tcBorders>
          </w:tcPr>
          <w:p>
            <w:pPr>
              <w:spacing w:after="0"/>
              <w:rPr>
                <w:sz w:val="20"/>
                <w:szCs w:val="20"/>
                <w:color w:val="auto"/>
              </w:rPr>
            </w:pPr>
          </w:p>
        </w:tc>
        <w:tc>
          <w:tcPr>
            <w:tcW w:w="320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4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r>
      <w:tr>
        <w:trPr>
          <w:trHeight w:val="641"/>
        </w:trPr>
        <w:tc>
          <w:tcPr>
            <w:tcW w:w="6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60" w:type="dxa"/>
            <w:vAlign w:val="bottom"/>
            <w:tcBorders>
              <w:top w:val="single" w:sz="8" w:color="231F20"/>
              <w:left w:val="single" w:sz="8" w:color="231F20"/>
            </w:tcBorders>
          </w:tcPr>
          <w:p>
            <w:pPr>
              <w:spacing w:after="0"/>
              <w:rPr>
                <w:sz w:val="20"/>
                <w:szCs w:val="20"/>
                <w:color w:val="auto"/>
              </w:rPr>
            </w:pPr>
          </w:p>
        </w:tc>
        <w:tc>
          <w:tcPr>
            <w:tcW w:w="310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1280" w:type="dxa"/>
            <w:vAlign w:val="bottom"/>
            <w:tcBorders>
              <w:top w:val="single" w:sz="8" w:color="231F20"/>
              <w:right w:val="single" w:sz="8" w:color="231F20"/>
            </w:tcBorders>
          </w:tcPr>
          <w:p>
            <w:pPr>
              <w:spacing w:after="0"/>
              <w:rPr>
                <w:sz w:val="20"/>
                <w:szCs w:val="20"/>
                <w:color w:val="auto"/>
              </w:rPr>
            </w:pPr>
          </w:p>
        </w:tc>
        <w:tc>
          <w:tcPr>
            <w:tcW w:w="2960" w:type="dxa"/>
            <w:vAlign w:val="bottom"/>
            <w:tcBorders>
              <w:top w:val="single" w:sz="8" w:color="231F20"/>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620" w:type="dxa"/>
            <w:vAlign w:val="bottom"/>
            <w:tcBorders>
              <w:top w:val="single" w:sz="8" w:color="231F20"/>
              <w:right w:val="single" w:sz="8" w:color="231F20"/>
            </w:tcBorders>
          </w:tcPr>
          <w:p>
            <w:pPr>
              <w:spacing w:after="0"/>
              <w:rPr>
                <w:sz w:val="20"/>
                <w:szCs w:val="20"/>
                <w:color w:val="auto"/>
              </w:rPr>
            </w:pPr>
          </w:p>
        </w:tc>
        <w:tc>
          <w:tcPr>
            <w:tcW w:w="120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r>
      <w:tr>
        <w:trPr>
          <w:trHeight w:val="238"/>
        </w:trPr>
        <w:tc>
          <w:tcPr>
            <w:tcW w:w="660" w:type="dxa"/>
            <w:vAlign w:val="bottom"/>
            <w:tcBorders>
              <w:left w:val="single" w:sz="8" w:color="231F20"/>
            </w:tcBorders>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right w:val="single" w:sz="8" w:color="231F20"/>
            </w:tcBorders>
          </w:tcPr>
          <w:p>
            <w:pPr>
              <w:spacing w:after="0"/>
              <w:rPr>
                <w:sz w:val="20"/>
                <w:szCs w:val="20"/>
                <w:color w:val="auto"/>
              </w:rPr>
            </w:pPr>
          </w:p>
        </w:tc>
        <w:tc>
          <w:tcPr>
            <w:tcW w:w="2960" w:type="dxa"/>
            <w:vAlign w:val="bottom"/>
            <w:tcBorders>
              <w:bottom w:val="single" w:sz="8" w:color="231F20"/>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AND PERCENTAGE (%)</w:t>
            </w: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174"/>
        </w:trPr>
        <w:tc>
          <w:tcPr>
            <w:tcW w:w="660" w:type="dxa"/>
            <w:vAlign w:val="bottom"/>
            <w:tcBorders>
              <w:left w:val="single" w:sz="8" w:color="231F20"/>
            </w:tcBorders>
          </w:tcPr>
          <w:p>
            <w:pPr>
              <w:spacing w:after="0"/>
              <w:rPr>
                <w:sz w:val="15"/>
                <w:szCs w:val="15"/>
                <w:color w:val="auto"/>
              </w:rPr>
            </w:pPr>
          </w:p>
        </w:tc>
        <w:tc>
          <w:tcPr>
            <w:tcW w:w="3160" w:type="dxa"/>
            <w:vAlign w:val="bottom"/>
            <w:gridSpan w:val="2"/>
          </w:tcPr>
          <w:p>
            <w:pPr>
              <w:ind w:left="720"/>
              <w:spacing w:after="0" w:line="174" w:lineRule="exact"/>
              <w:rPr>
                <w:sz w:val="20"/>
                <w:szCs w:val="20"/>
                <w:color w:val="auto"/>
              </w:rPr>
            </w:pPr>
            <w:r>
              <w:rPr>
                <w:rFonts w:ascii="Times New Roman" w:cs="Times New Roman" w:eastAsia="Times New Roman" w:hAnsi="Times New Roman"/>
                <w:sz w:val="18"/>
                <w:szCs w:val="18"/>
                <w:b w:val="1"/>
                <w:bCs w:val="1"/>
                <w:color w:val="auto"/>
              </w:rPr>
              <w:t>ORDINARY RESOLUTIONS</w:t>
            </w:r>
          </w:p>
        </w:tc>
        <w:tc>
          <w:tcPr>
            <w:tcW w:w="1280" w:type="dxa"/>
            <w:vAlign w:val="bottom"/>
            <w:tcBorders>
              <w:right w:val="single" w:sz="8" w:color="231F20"/>
            </w:tcBorders>
          </w:tcPr>
          <w:p>
            <w:pPr>
              <w:spacing w:after="0"/>
              <w:rPr>
                <w:sz w:val="15"/>
                <w:szCs w:val="15"/>
                <w:color w:val="auto"/>
              </w:rPr>
            </w:pPr>
          </w:p>
        </w:tc>
        <w:tc>
          <w:tcPr>
            <w:tcW w:w="132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Borders>
              <w:right w:val="single" w:sz="8" w:color="231F20"/>
            </w:tcBorders>
          </w:tcPr>
          <w:p>
            <w:pPr>
              <w:spacing w:after="0"/>
              <w:rPr>
                <w:sz w:val="15"/>
                <w:szCs w:val="15"/>
                <w:color w:val="auto"/>
              </w:rPr>
            </w:pPr>
          </w:p>
        </w:tc>
        <w:tc>
          <w:tcPr>
            <w:tcW w:w="120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 VOTING</w:t>
            </w:r>
          </w:p>
        </w:tc>
        <w:tc>
          <w:tcPr>
            <w:tcW w:w="136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VOTES</w:t>
            </w:r>
          </w:p>
        </w:tc>
      </w:tr>
      <w:tr>
        <w:trPr>
          <w:trHeight w:val="306"/>
        </w:trPr>
        <w:tc>
          <w:tcPr>
            <w:tcW w:w="660" w:type="dxa"/>
            <w:vAlign w:val="bottom"/>
            <w:tcBorders>
              <w:left w:val="single" w:sz="8" w:color="231F20"/>
              <w:bottom w:val="single" w:sz="8" w:color="231F20"/>
            </w:tcBorders>
          </w:tcPr>
          <w:p>
            <w:pPr>
              <w:spacing w:after="0"/>
              <w:rPr>
                <w:sz w:val="24"/>
                <w:szCs w:val="24"/>
                <w:color w:val="auto"/>
              </w:rPr>
            </w:pPr>
          </w:p>
        </w:tc>
        <w:tc>
          <w:tcPr>
            <w:tcW w:w="310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right w:val="single" w:sz="8" w:color="231F20"/>
            </w:tcBorders>
          </w:tcPr>
          <w:p>
            <w:pPr>
              <w:spacing w:after="0"/>
              <w:rPr>
                <w:sz w:val="24"/>
                <w:szCs w:val="24"/>
                <w:color w:val="auto"/>
              </w:rPr>
            </w:pPr>
          </w:p>
        </w:tc>
        <w:tc>
          <w:tcPr>
            <w:tcW w:w="1320" w:type="dxa"/>
            <w:vAlign w:val="bottom"/>
            <w:tcBorders>
              <w:bottom w:val="single" w:sz="8" w:color="231F20"/>
              <w:right w:val="single" w:sz="8" w:color="231F20"/>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20" w:type="dxa"/>
            <w:vAlign w:val="bottom"/>
            <w:tcBorders>
              <w:bottom w:val="single" w:sz="8" w:color="231F20"/>
              <w:right w:val="single" w:sz="8" w:color="231F20"/>
            </w:tcBorders>
            <w:gridSpan w:val="2"/>
          </w:tcPr>
          <w:p>
            <w:pPr>
              <w:ind w:left="120"/>
              <w:spacing w:after="0" w:line="306" w:lineRule="exact"/>
              <w:rPr>
                <w:sz w:val="20"/>
                <w:szCs w:val="20"/>
                <w:color w:val="auto"/>
              </w:rPr>
            </w:pPr>
            <w:r>
              <w:rPr>
                <w:rFonts w:ascii="Times New Roman" w:cs="Times New Roman" w:eastAsia="Times New Roman" w:hAnsi="Times New Roman"/>
                <w:sz w:val="18"/>
                <w:szCs w:val="18"/>
                <w:b w:val="1"/>
                <w:bCs w:val="1"/>
                <w:color w:val="auto"/>
                <w:w w:val="95"/>
              </w:rPr>
              <w:t>ABSTAIN</w:t>
            </w:r>
            <w:r>
              <w:rPr>
                <w:rFonts w:ascii="Times New Roman" w:cs="Times New Roman" w:eastAsia="Times New Roman" w:hAnsi="Times New Roman"/>
                <w:sz w:val="29"/>
                <w:szCs w:val="29"/>
                <w:b w:val="1"/>
                <w:bCs w:val="1"/>
                <w:color w:val="auto"/>
                <w:w w:val="95"/>
                <w:vertAlign w:val="superscript"/>
              </w:rPr>
              <w:t>1</w:t>
            </w:r>
          </w:p>
        </w:tc>
        <w:tc>
          <w:tcPr>
            <w:tcW w:w="12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r>
      <w:tr>
        <w:trPr>
          <w:trHeight w:val="191"/>
        </w:trPr>
        <w:tc>
          <w:tcPr>
            <w:tcW w:w="660" w:type="dxa"/>
            <w:vAlign w:val="bottom"/>
            <w:tcBorders>
              <w:left w:val="single" w:sz="8" w:color="231F20"/>
              <w:right w:val="single" w:sz="8" w:color="231F20"/>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2.(a)</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re-elect Mr. QIU Changheng as an</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245,850,169</w:t>
            </w:r>
          </w:p>
        </w:tc>
        <w:tc>
          <w:tcPr>
            <w:tcW w:w="1240" w:type="dxa"/>
            <w:vAlign w:val="bottom"/>
            <w:tcBorders>
              <w:right w:val="single" w:sz="8" w:color="231F20"/>
            </w:tcBorders>
          </w:tcPr>
          <w:p>
            <w:pPr>
              <w:spacing w:after="0" w:line="191" w:lineRule="exact"/>
              <w:rPr>
                <w:sz w:val="20"/>
                <w:szCs w:val="20"/>
                <w:color w:val="auto"/>
              </w:rPr>
            </w:pPr>
            <w:r>
              <w:rPr>
                <w:rFonts w:ascii="Times New Roman" w:cs="Times New Roman" w:eastAsia="Times New Roman" w:hAnsi="Times New Roman"/>
                <w:sz w:val="18"/>
                <w:szCs w:val="18"/>
                <w:color w:val="auto"/>
              </w:rPr>
              <w:t>2,472,600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r>
      <w:tr>
        <w:trPr>
          <w:trHeight w:val="243"/>
        </w:trPr>
        <w:tc>
          <w:tcPr>
            <w:tcW w:w="66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(99.00428%)</w:t>
            </w:r>
          </w:p>
        </w:tc>
        <w:tc>
          <w:tcPr>
            <w:tcW w:w="12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(0.99572%)</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70,162,633</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70,162,633</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70,162,633</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316,012,802</w:t>
            </w:r>
          </w:p>
        </w:tc>
        <w:tc>
          <w:tcPr>
            <w:tcW w:w="1240" w:type="dxa"/>
            <w:vAlign w:val="bottom"/>
            <w:tcBorders>
              <w:right w:val="single" w:sz="8" w:color="231F20"/>
            </w:tcBorders>
          </w:tcPr>
          <w:p>
            <w:pPr>
              <w:spacing w:after="0" w:line="191" w:lineRule="exact"/>
              <w:rPr>
                <w:sz w:val="20"/>
                <w:szCs w:val="20"/>
                <w:color w:val="auto"/>
              </w:rPr>
            </w:pPr>
            <w:r>
              <w:rPr>
                <w:rFonts w:ascii="Times New Roman" w:cs="Times New Roman" w:eastAsia="Times New Roman" w:hAnsi="Times New Roman"/>
                <w:sz w:val="18"/>
                <w:szCs w:val="18"/>
                <w:color w:val="auto"/>
              </w:rPr>
              <w:t>2,472,600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(99.223638%)</w:t>
            </w:r>
          </w:p>
        </w:tc>
        <w:tc>
          <w:tcPr>
            <w:tcW w:w="12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(0.776362%)</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00" w:type="dxa"/>
            <w:vAlign w:val="bottom"/>
            <w:tcBorders>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2.(a)</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re-elect Mr. YIP Pak Tung Jason as</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r>
      <w:tr>
        <w:trPr>
          <w:trHeight w:val="243"/>
        </w:trPr>
        <w:tc>
          <w:tcPr>
            <w:tcW w:w="66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an independent non-executive Director.</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70,162,633</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70,162,633</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70,162,633</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00" w:type="dxa"/>
            <w:vAlign w:val="bottom"/>
            <w:tcBorders>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2.(b)</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authorize  the  Board  or  the</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  to  fix  the</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remuneration of the Directors.</w:t>
            </w: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70,162,633</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701,626,330</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00" w:type="dxa"/>
            <w:vAlign w:val="bottom"/>
            <w:tcBorders>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60" w:type="dxa"/>
            <w:vAlign w:val="bottom"/>
            <w:tcBorders>
              <w:top w:val="single" w:sz="8" w:color="231F20"/>
              <w:left w:val="single" w:sz="8" w:color="231F20"/>
            </w:tcBorders>
          </w:tcPr>
          <w:p>
            <w:pPr>
              <w:spacing w:after="0"/>
              <w:rPr>
                <w:sz w:val="20"/>
                <w:szCs w:val="20"/>
                <w:color w:val="auto"/>
              </w:rPr>
            </w:pPr>
          </w:p>
        </w:tc>
        <w:tc>
          <w:tcPr>
            <w:tcW w:w="310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1280" w:type="dxa"/>
            <w:vAlign w:val="bottom"/>
            <w:tcBorders>
              <w:top w:val="single" w:sz="8" w:color="231F20"/>
              <w:right w:val="single" w:sz="8" w:color="231F20"/>
            </w:tcBorders>
          </w:tcPr>
          <w:p>
            <w:pPr>
              <w:spacing w:after="0"/>
              <w:rPr>
                <w:sz w:val="20"/>
                <w:szCs w:val="20"/>
                <w:color w:val="auto"/>
              </w:rPr>
            </w:pPr>
          </w:p>
        </w:tc>
        <w:tc>
          <w:tcPr>
            <w:tcW w:w="2960" w:type="dxa"/>
            <w:vAlign w:val="bottom"/>
            <w:tcBorders>
              <w:top w:val="single" w:sz="8" w:color="231F20"/>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620" w:type="dxa"/>
            <w:vAlign w:val="bottom"/>
            <w:tcBorders>
              <w:top w:val="single" w:sz="8" w:color="231F20"/>
              <w:right w:val="single" w:sz="8" w:color="231F20"/>
            </w:tcBorders>
          </w:tcPr>
          <w:p>
            <w:pPr>
              <w:spacing w:after="0"/>
              <w:rPr>
                <w:sz w:val="20"/>
                <w:szCs w:val="20"/>
                <w:color w:val="auto"/>
              </w:rPr>
            </w:pPr>
          </w:p>
        </w:tc>
        <w:tc>
          <w:tcPr>
            <w:tcW w:w="120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38"/>
        </w:trPr>
        <w:tc>
          <w:tcPr>
            <w:tcW w:w="660" w:type="dxa"/>
            <w:vAlign w:val="bottom"/>
            <w:tcBorders>
              <w:left w:val="single" w:sz="8" w:color="231F20"/>
            </w:tcBorders>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right w:val="single" w:sz="8" w:color="231F20"/>
            </w:tcBorders>
          </w:tcPr>
          <w:p>
            <w:pPr>
              <w:spacing w:after="0"/>
              <w:rPr>
                <w:sz w:val="20"/>
                <w:szCs w:val="20"/>
                <w:color w:val="auto"/>
              </w:rPr>
            </w:pPr>
          </w:p>
        </w:tc>
        <w:tc>
          <w:tcPr>
            <w:tcW w:w="2960" w:type="dxa"/>
            <w:vAlign w:val="bottom"/>
            <w:tcBorders>
              <w:bottom w:val="single" w:sz="8" w:color="231F20"/>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AND PERCENTAGE (%)</w:t>
            </w: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4"/>
        </w:trPr>
        <w:tc>
          <w:tcPr>
            <w:tcW w:w="660" w:type="dxa"/>
            <w:vAlign w:val="bottom"/>
            <w:tcBorders>
              <w:left w:val="single" w:sz="8" w:color="231F20"/>
            </w:tcBorders>
          </w:tcPr>
          <w:p>
            <w:pPr>
              <w:spacing w:after="0"/>
              <w:rPr>
                <w:sz w:val="15"/>
                <w:szCs w:val="15"/>
                <w:color w:val="auto"/>
              </w:rPr>
            </w:pPr>
          </w:p>
        </w:tc>
        <w:tc>
          <w:tcPr>
            <w:tcW w:w="3160" w:type="dxa"/>
            <w:vAlign w:val="bottom"/>
            <w:gridSpan w:val="2"/>
          </w:tcPr>
          <w:p>
            <w:pPr>
              <w:ind w:left="720"/>
              <w:spacing w:after="0" w:line="174" w:lineRule="exact"/>
              <w:rPr>
                <w:sz w:val="20"/>
                <w:szCs w:val="20"/>
                <w:color w:val="auto"/>
              </w:rPr>
            </w:pPr>
            <w:r>
              <w:rPr>
                <w:rFonts w:ascii="Times New Roman" w:cs="Times New Roman" w:eastAsia="Times New Roman" w:hAnsi="Times New Roman"/>
                <w:sz w:val="18"/>
                <w:szCs w:val="18"/>
                <w:b w:val="1"/>
                <w:bCs w:val="1"/>
                <w:color w:val="auto"/>
              </w:rPr>
              <w:t>ORDINARY RESOLUTIONS</w:t>
            </w:r>
          </w:p>
        </w:tc>
        <w:tc>
          <w:tcPr>
            <w:tcW w:w="1280" w:type="dxa"/>
            <w:vAlign w:val="bottom"/>
            <w:tcBorders>
              <w:right w:val="single" w:sz="8" w:color="231F20"/>
            </w:tcBorders>
          </w:tcPr>
          <w:p>
            <w:pPr>
              <w:spacing w:after="0"/>
              <w:rPr>
                <w:sz w:val="15"/>
                <w:szCs w:val="15"/>
                <w:color w:val="auto"/>
              </w:rPr>
            </w:pPr>
          </w:p>
        </w:tc>
        <w:tc>
          <w:tcPr>
            <w:tcW w:w="132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Borders>
              <w:right w:val="single" w:sz="8" w:color="231F20"/>
            </w:tcBorders>
          </w:tcPr>
          <w:p>
            <w:pPr>
              <w:spacing w:after="0"/>
              <w:rPr>
                <w:sz w:val="15"/>
                <w:szCs w:val="15"/>
                <w:color w:val="auto"/>
              </w:rPr>
            </w:pPr>
          </w:p>
        </w:tc>
        <w:tc>
          <w:tcPr>
            <w:tcW w:w="120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 VOTING</w:t>
            </w:r>
          </w:p>
        </w:tc>
        <w:tc>
          <w:tcPr>
            <w:tcW w:w="136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306"/>
        </w:trPr>
        <w:tc>
          <w:tcPr>
            <w:tcW w:w="660" w:type="dxa"/>
            <w:vAlign w:val="bottom"/>
            <w:tcBorders>
              <w:left w:val="single" w:sz="8" w:color="231F20"/>
              <w:bottom w:val="single" w:sz="8" w:color="231F20"/>
            </w:tcBorders>
          </w:tcPr>
          <w:p>
            <w:pPr>
              <w:spacing w:after="0"/>
              <w:rPr>
                <w:sz w:val="24"/>
                <w:szCs w:val="24"/>
                <w:color w:val="auto"/>
              </w:rPr>
            </w:pPr>
          </w:p>
        </w:tc>
        <w:tc>
          <w:tcPr>
            <w:tcW w:w="310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right w:val="single" w:sz="8" w:color="231F20"/>
            </w:tcBorders>
          </w:tcPr>
          <w:p>
            <w:pPr>
              <w:spacing w:after="0"/>
              <w:rPr>
                <w:sz w:val="24"/>
                <w:szCs w:val="24"/>
                <w:color w:val="auto"/>
              </w:rPr>
            </w:pPr>
          </w:p>
        </w:tc>
        <w:tc>
          <w:tcPr>
            <w:tcW w:w="1320" w:type="dxa"/>
            <w:vAlign w:val="bottom"/>
            <w:tcBorders>
              <w:bottom w:val="single" w:sz="8" w:color="231F20"/>
              <w:right w:val="single" w:sz="8" w:color="231F20"/>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20" w:type="dxa"/>
            <w:vAlign w:val="bottom"/>
            <w:tcBorders>
              <w:bottom w:val="single" w:sz="8" w:color="231F20"/>
              <w:right w:val="single" w:sz="8" w:color="231F20"/>
            </w:tcBorders>
            <w:gridSpan w:val="2"/>
          </w:tcPr>
          <w:p>
            <w:pPr>
              <w:ind w:left="120"/>
              <w:spacing w:after="0" w:line="306" w:lineRule="exact"/>
              <w:rPr>
                <w:sz w:val="20"/>
                <w:szCs w:val="20"/>
                <w:color w:val="auto"/>
              </w:rPr>
            </w:pPr>
            <w:r>
              <w:rPr>
                <w:rFonts w:ascii="Times New Roman" w:cs="Times New Roman" w:eastAsia="Times New Roman" w:hAnsi="Times New Roman"/>
                <w:sz w:val="18"/>
                <w:szCs w:val="18"/>
                <w:b w:val="1"/>
                <w:bCs w:val="1"/>
                <w:color w:val="auto"/>
                <w:w w:val="95"/>
              </w:rPr>
              <w:t>ABSTAIN</w:t>
            </w:r>
            <w:r>
              <w:rPr>
                <w:rFonts w:ascii="Times New Roman" w:cs="Times New Roman" w:eastAsia="Times New Roman" w:hAnsi="Times New Roman"/>
                <w:sz w:val="29"/>
                <w:szCs w:val="29"/>
                <w:b w:val="1"/>
                <w:bCs w:val="1"/>
                <w:color w:val="auto"/>
                <w:w w:val="95"/>
                <w:vertAlign w:val="superscript"/>
              </w:rPr>
              <w:t>1</w:t>
            </w:r>
          </w:p>
        </w:tc>
        <w:tc>
          <w:tcPr>
            <w:tcW w:w="12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191"/>
        </w:trPr>
        <w:tc>
          <w:tcPr>
            <w:tcW w:w="66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248,307,169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15,600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0" w:type="dxa"/>
            <w:vAlign w:val="bottom"/>
          </w:tcPr>
          <w:p>
            <w:pPr>
              <w:spacing w:after="0"/>
              <w:rPr>
                <w:sz w:val="1"/>
                <w:szCs w:val="1"/>
                <w:color w:val="auto"/>
              </w:rPr>
            </w:pP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Directors to issue, allot, and deal with</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(99.993718%)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(0.006282%)</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additional  Class  A  Ordinary  Shares</w:t>
            </w: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231F20"/>
              <w:right w:val="single" w:sz="8" w:color="231F20"/>
            </w:tcBorders>
          </w:tcPr>
          <w:p>
            <w:pPr>
              <w:spacing w:after="0"/>
              <w:rPr>
                <w:sz w:val="15"/>
                <w:szCs w:val="15"/>
                <w:color w:val="auto"/>
              </w:rPr>
            </w:pPr>
          </w:p>
        </w:tc>
        <w:tc>
          <w:tcPr>
            <w:tcW w:w="3100" w:type="dxa"/>
            <w:vAlign w:val="bottom"/>
            <w:tcBorders>
              <w:right w:val="single" w:sz="8" w:color="231F20"/>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and/or ADSs of the Company, or sell</w:t>
            </w:r>
          </w:p>
        </w:tc>
        <w:tc>
          <w:tcPr>
            <w:tcW w:w="60" w:type="dxa"/>
            <w:vAlign w:val="bottom"/>
          </w:tcPr>
          <w:p>
            <w:pPr>
              <w:spacing w:after="0"/>
              <w:rPr>
                <w:sz w:val="15"/>
                <w:szCs w:val="15"/>
                <w:color w:val="auto"/>
              </w:rPr>
            </w:pPr>
          </w:p>
        </w:tc>
        <w:tc>
          <w:tcPr>
            <w:tcW w:w="1280" w:type="dxa"/>
            <w:vAlign w:val="bottom"/>
            <w:tcBorders>
              <w:right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70,162,633</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and/or transfer Class A Ordinary Shares</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18"/>
                <w:szCs w:val="18"/>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out of treasury that are held as treasury</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231F20"/>
              <w:right w:val="single" w:sz="8" w:color="231F20"/>
            </w:tcBorders>
          </w:tcPr>
          <w:p>
            <w:pPr>
              <w:spacing w:after="0"/>
              <w:rPr>
                <w:sz w:val="4"/>
                <w:szCs w:val="4"/>
                <w:color w:val="auto"/>
              </w:rPr>
            </w:pPr>
          </w:p>
        </w:tc>
        <w:tc>
          <w:tcPr>
            <w:tcW w:w="310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shares not exceeding 20% of the total</w:t>
            </w:r>
          </w:p>
        </w:tc>
        <w:tc>
          <w:tcPr>
            <w:tcW w:w="60" w:type="dxa"/>
            <w:vAlign w:val="bottom"/>
            <w:tcBorders>
              <w:bottom w:val="single" w:sz="8" w:color="231F20"/>
            </w:tcBorders>
          </w:tcPr>
          <w:p>
            <w:pPr>
              <w:spacing w:after="0"/>
              <w:rPr>
                <w:sz w:val="4"/>
                <w:szCs w:val="4"/>
                <w:color w:val="auto"/>
              </w:rPr>
            </w:pPr>
          </w:p>
        </w:tc>
        <w:tc>
          <w:tcPr>
            <w:tcW w:w="1280" w:type="dxa"/>
            <w:vAlign w:val="bottom"/>
            <w:tcBorders>
              <w:bottom w:val="single" w:sz="8" w:color="231F20"/>
              <w:right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400" w:type="dxa"/>
            <w:vAlign w:val="bottom"/>
            <w:tcBorders>
              <w:bottom w:val="single" w:sz="8" w:color="231F20"/>
            </w:tcBorders>
          </w:tcPr>
          <w:p>
            <w:pPr>
              <w:spacing w:after="0"/>
              <w:rPr>
                <w:sz w:val="4"/>
                <w:szCs w:val="4"/>
                <w:color w:val="auto"/>
              </w:rPr>
            </w:pPr>
          </w:p>
        </w:tc>
        <w:tc>
          <w:tcPr>
            <w:tcW w:w="620" w:type="dxa"/>
            <w:vAlign w:val="bottom"/>
            <w:tcBorders>
              <w:bottom w:val="single" w:sz="8" w:color="231F20"/>
              <w:right w:val="single" w:sz="8" w:color="231F20"/>
            </w:tcBorders>
          </w:tcPr>
          <w:p>
            <w:pPr>
              <w:spacing w:after="0"/>
              <w:rPr>
                <w:sz w:val="4"/>
                <w:szCs w:val="4"/>
                <w:color w:val="auto"/>
              </w:rPr>
            </w:pPr>
          </w:p>
        </w:tc>
        <w:tc>
          <w:tcPr>
            <w:tcW w:w="120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231F20"/>
              <w:right w:val="single" w:sz="8" w:color="231F20"/>
            </w:tcBorders>
          </w:tcPr>
          <w:p>
            <w:pPr>
              <w:spacing w:after="0"/>
              <w:rPr>
                <w:sz w:val="15"/>
                <w:szCs w:val="15"/>
                <w:color w:val="auto"/>
              </w:rPr>
            </w:pPr>
          </w:p>
        </w:tc>
        <w:tc>
          <w:tcPr>
            <w:tcW w:w="3100" w:type="dxa"/>
            <w:vAlign w:val="bottom"/>
            <w:tcBorders>
              <w:right w:val="single" w:sz="8" w:color="231F20"/>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Borders>
              <w:right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949,933,499</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15,600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949,949,099</w:t>
            </w: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number of issued Shares (excluding any</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(99.998358%)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(0.001642%)</w:t>
            </w:r>
          </w:p>
        </w:tc>
        <w:tc>
          <w:tcPr>
            <w:tcW w:w="400" w:type="dxa"/>
            <w:vAlign w:val="bottom"/>
          </w:tcPr>
          <w:p>
            <w:pPr>
              <w:spacing w:after="0"/>
              <w:rPr>
                <w:sz w:val="18"/>
                <w:szCs w:val="18"/>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231F20"/>
              <w:right w:val="single" w:sz="8" w:color="231F20"/>
            </w:tcBorders>
          </w:tcPr>
          <w:p>
            <w:pPr>
              <w:spacing w:after="0"/>
              <w:rPr>
                <w:sz w:val="14"/>
                <w:szCs w:val="14"/>
                <w:color w:val="auto"/>
              </w:rPr>
            </w:pPr>
          </w:p>
        </w:tc>
        <w:tc>
          <w:tcPr>
            <w:tcW w:w="3100" w:type="dxa"/>
            <w:vAlign w:val="bottom"/>
            <w:tcBorders>
              <w:right w:val="single" w:sz="8" w:color="231F20"/>
            </w:tcBorders>
          </w:tcPr>
          <w:p>
            <w:pPr>
              <w:ind w:left="100"/>
              <w:spacing w:after="0" w:line="170" w:lineRule="exact"/>
              <w:rPr>
                <w:sz w:val="20"/>
                <w:szCs w:val="20"/>
                <w:color w:val="auto"/>
              </w:rPr>
            </w:pPr>
            <w:r>
              <w:rPr>
                <w:rFonts w:ascii="Times New Roman" w:cs="Times New Roman" w:eastAsia="Times New Roman" w:hAnsi="Times New Roman"/>
                <w:sz w:val="18"/>
                <w:szCs w:val="18"/>
                <w:color w:val="auto"/>
              </w:rPr>
              <w:t>treasury shares) of the Company as of</w:t>
            </w:r>
          </w:p>
        </w:tc>
        <w:tc>
          <w:tcPr>
            <w:tcW w:w="60" w:type="dxa"/>
            <w:vAlign w:val="bottom"/>
          </w:tcPr>
          <w:p>
            <w:pPr>
              <w:spacing w:after="0"/>
              <w:rPr>
                <w:sz w:val="14"/>
                <w:szCs w:val="14"/>
                <w:color w:val="auto"/>
              </w:rPr>
            </w:pPr>
          </w:p>
        </w:tc>
        <w:tc>
          <w:tcPr>
            <w:tcW w:w="128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4"/>
                <w:szCs w:val="14"/>
                <w:color w:val="auto"/>
              </w:rPr>
            </w:pPr>
          </w:p>
        </w:tc>
        <w:tc>
          <w:tcPr>
            <w:tcW w:w="1240" w:type="dxa"/>
            <w:vAlign w:val="bottom"/>
            <w:tcBorders>
              <w:right w:val="single" w:sz="8" w:color="231F20"/>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right w:val="single" w:sz="8" w:color="231F20"/>
            </w:tcBorders>
          </w:tcPr>
          <w:p>
            <w:pPr>
              <w:spacing w:after="0"/>
              <w:rPr>
                <w:sz w:val="14"/>
                <w:szCs w:val="14"/>
                <w:color w:val="auto"/>
              </w:rPr>
            </w:pPr>
          </w:p>
        </w:tc>
        <w:tc>
          <w:tcPr>
            <w:tcW w:w="1200" w:type="dxa"/>
            <w:vAlign w:val="bottom"/>
            <w:tcBorders>
              <w:right w:val="single" w:sz="8" w:color="231F20"/>
            </w:tcBorders>
          </w:tcPr>
          <w:p>
            <w:pPr>
              <w:spacing w:after="0"/>
              <w:rPr>
                <w:sz w:val="14"/>
                <w:szCs w:val="14"/>
                <w:color w:val="auto"/>
              </w:rPr>
            </w:pPr>
          </w:p>
        </w:tc>
        <w:tc>
          <w:tcPr>
            <w:tcW w:w="13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231F20"/>
              <w:right w:val="single" w:sz="8" w:color="231F20"/>
            </w:tcBorders>
          </w:tcPr>
          <w:p>
            <w:pPr>
              <w:spacing w:after="0"/>
              <w:rPr>
                <w:sz w:val="7"/>
                <w:szCs w:val="7"/>
                <w:color w:val="auto"/>
              </w:rPr>
            </w:pPr>
          </w:p>
        </w:tc>
        <w:tc>
          <w:tcPr>
            <w:tcW w:w="310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date of passing of this resolution.</w:t>
            </w:r>
          </w:p>
        </w:tc>
        <w:tc>
          <w:tcPr>
            <w:tcW w:w="60" w:type="dxa"/>
            <w:vAlign w:val="bottom"/>
          </w:tcPr>
          <w:p>
            <w:pPr>
              <w:spacing w:after="0"/>
              <w:rPr>
                <w:sz w:val="7"/>
                <w:szCs w:val="7"/>
                <w:color w:val="auto"/>
              </w:rPr>
            </w:pPr>
          </w:p>
        </w:tc>
        <w:tc>
          <w:tcPr>
            <w:tcW w:w="1280" w:type="dxa"/>
            <w:vAlign w:val="bottom"/>
            <w:tcBorders>
              <w:right w:val="single" w:sz="8" w:color="231F20"/>
            </w:tcBorders>
            <w:vMerge w:val="continue"/>
          </w:tcPr>
          <w:p>
            <w:pPr>
              <w:spacing w:after="0"/>
              <w:rPr>
                <w:sz w:val="7"/>
                <w:szCs w:val="7"/>
                <w:color w:val="auto"/>
              </w:rPr>
            </w:pPr>
          </w:p>
        </w:tc>
        <w:tc>
          <w:tcPr>
            <w:tcW w:w="1320" w:type="dxa"/>
            <w:vAlign w:val="bottom"/>
            <w:tcBorders>
              <w:right w:val="single" w:sz="8" w:color="231F20"/>
            </w:tcBorders>
          </w:tcPr>
          <w:p>
            <w:pPr>
              <w:spacing w:after="0"/>
              <w:rPr>
                <w:sz w:val="7"/>
                <w:szCs w:val="7"/>
                <w:color w:val="auto"/>
              </w:rPr>
            </w:pPr>
          </w:p>
        </w:tc>
        <w:tc>
          <w:tcPr>
            <w:tcW w:w="1240" w:type="dxa"/>
            <w:vAlign w:val="bottom"/>
            <w:tcBorders>
              <w:right w:val="single" w:sz="8" w:color="231F20"/>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right w:val="single" w:sz="8" w:color="231F20"/>
            </w:tcBorders>
          </w:tcPr>
          <w:p>
            <w:pPr>
              <w:spacing w:after="0"/>
              <w:rPr>
                <w:sz w:val="7"/>
                <w:szCs w:val="7"/>
                <w:color w:val="auto"/>
              </w:rPr>
            </w:pPr>
          </w:p>
        </w:tc>
        <w:tc>
          <w:tcPr>
            <w:tcW w:w="1200" w:type="dxa"/>
            <w:vAlign w:val="bottom"/>
            <w:tcBorders>
              <w:right w:val="single" w:sz="8" w:color="231F20"/>
            </w:tcBorders>
          </w:tcPr>
          <w:p>
            <w:pPr>
              <w:spacing w:after="0"/>
              <w:rPr>
                <w:sz w:val="7"/>
                <w:szCs w:val="7"/>
                <w:color w:val="auto"/>
              </w:rPr>
            </w:pPr>
          </w:p>
        </w:tc>
        <w:tc>
          <w:tcPr>
            <w:tcW w:w="136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660" w:type="dxa"/>
            <w:vAlign w:val="bottom"/>
            <w:tcBorders>
              <w:left w:val="single" w:sz="8" w:color="231F20"/>
              <w:right w:val="single" w:sz="8" w:color="231F20"/>
            </w:tcBorders>
          </w:tcPr>
          <w:p>
            <w:pPr>
              <w:spacing w:after="0"/>
              <w:rPr>
                <w:sz w:val="13"/>
                <w:szCs w:val="13"/>
                <w:color w:val="auto"/>
              </w:rPr>
            </w:pPr>
          </w:p>
        </w:tc>
        <w:tc>
          <w:tcPr>
            <w:tcW w:w="3100" w:type="dxa"/>
            <w:vAlign w:val="bottom"/>
            <w:tcBorders>
              <w:right w:val="single" w:sz="8" w:color="231F20"/>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spacing w:after="0"/>
              <w:rPr>
                <w:sz w:val="13"/>
                <w:szCs w:val="13"/>
                <w:color w:val="auto"/>
              </w:rPr>
            </w:pPr>
          </w:p>
        </w:tc>
        <w:tc>
          <w:tcPr>
            <w:tcW w:w="1240" w:type="dxa"/>
            <w:vAlign w:val="bottom"/>
            <w:tcBorders>
              <w:right w:val="single" w:sz="8" w:color="231F20"/>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right w:val="single" w:sz="8" w:color="231F20"/>
            </w:tcBorders>
          </w:tcPr>
          <w:p>
            <w:pPr>
              <w:spacing w:after="0"/>
              <w:rPr>
                <w:sz w:val="13"/>
                <w:szCs w:val="13"/>
                <w:color w:val="auto"/>
              </w:rPr>
            </w:pPr>
          </w:p>
        </w:tc>
        <w:tc>
          <w:tcPr>
            <w:tcW w:w="120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231F20"/>
              <w:bottom w:val="single" w:sz="8" w:color="231F20"/>
              <w:right w:val="single" w:sz="8" w:color="231F20"/>
            </w:tcBorders>
          </w:tcPr>
          <w:p>
            <w:pPr>
              <w:spacing w:after="0"/>
              <w:rPr>
                <w:sz w:val="7"/>
                <w:szCs w:val="7"/>
                <w:color w:val="auto"/>
              </w:rPr>
            </w:pPr>
          </w:p>
        </w:tc>
        <w:tc>
          <w:tcPr>
            <w:tcW w:w="3100" w:type="dxa"/>
            <w:vAlign w:val="bottom"/>
            <w:tcBorders>
              <w:bottom w:val="single" w:sz="8" w:color="231F20"/>
              <w:right w:val="single" w:sz="8" w:color="231F20"/>
            </w:tcBorders>
          </w:tcPr>
          <w:p>
            <w:pPr>
              <w:spacing w:after="0"/>
              <w:rPr>
                <w:sz w:val="7"/>
                <w:szCs w:val="7"/>
                <w:color w:val="auto"/>
              </w:rPr>
            </w:pPr>
          </w:p>
        </w:tc>
        <w:tc>
          <w:tcPr>
            <w:tcW w:w="60" w:type="dxa"/>
            <w:vAlign w:val="bottom"/>
            <w:tcBorders>
              <w:bottom w:val="single" w:sz="8" w:color="231F20"/>
            </w:tcBorders>
          </w:tcPr>
          <w:p>
            <w:pPr>
              <w:spacing w:after="0"/>
              <w:rPr>
                <w:sz w:val="7"/>
                <w:szCs w:val="7"/>
                <w:color w:val="auto"/>
              </w:rPr>
            </w:pPr>
          </w:p>
        </w:tc>
        <w:tc>
          <w:tcPr>
            <w:tcW w:w="1280" w:type="dxa"/>
            <w:vAlign w:val="bottom"/>
            <w:tcBorders>
              <w:bottom w:val="single" w:sz="8" w:color="231F20"/>
              <w:right w:val="single" w:sz="8" w:color="231F20"/>
            </w:tcBorders>
            <w:vMerge w:val="continue"/>
          </w:tcPr>
          <w:p>
            <w:pPr>
              <w:spacing w:after="0"/>
              <w:rPr>
                <w:sz w:val="7"/>
                <w:szCs w:val="7"/>
                <w:color w:val="auto"/>
              </w:rPr>
            </w:pPr>
          </w:p>
        </w:tc>
        <w:tc>
          <w:tcPr>
            <w:tcW w:w="132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400" w:type="dxa"/>
            <w:vAlign w:val="bottom"/>
            <w:tcBorders>
              <w:bottom w:val="single" w:sz="8" w:color="231F20"/>
            </w:tcBorders>
          </w:tcPr>
          <w:p>
            <w:pPr>
              <w:spacing w:after="0"/>
              <w:rPr>
                <w:sz w:val="7"/>
                <w:szCs w:val="7"/>
                <w:color w:val="auto"/>
              </w:rPr>
            </w:pPr>
          </w:p>
        </w:tc>
        <w:tc>
          <w:tcPr>
            <w:tcW w:w="620" w:type="dxa"/>
            <w:vAlign w:val="bottom"/>
            <w:tcBorders>
              <w:bottom w:val="single" w:sz="8" w:color="231F20"/>
              <w:right w:val="single" w:sz="8" w:color="231F20"/>
            </w:tcBorders>
          </w:tcPr>
          <w:p>
            <w:pPr>
              <w:spacing w:after="0"/>
              <w:rPr>
                <w:sz w:val="7"/>
                <w:szCs w:val="7"/>
                <w:color w:val="auto"/>
              </w:rPr>
            </w:pPr>
          </w:p>
        </w:tc>
        <w:tc>
          <w:tcPr>
            <w:tcW w:w="120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grant  a  general  mandate  to  the</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0" w:type="dxa"/>
            <w:vAlign w:val="bottom"/>
          </w:tcPr>
          <w:p>
            <w:pPr>
              <w:spacing w:after="0"/>
              <w:rPr>
                <w:sz w:val="1"/>
                <w:szCs w:val="1"/>
                <w:color w:val="auto"/>
              </w:rPr>
            </w:pP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Directors to repurchase Shares and/or</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ADSs of the Company not exceeding</w:t>
            </w: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231F20"/>
              <w:right w:val="single" w:sz="8" w:color="231F20"/>
            </w:tcBorders>
          </w:tcPr>
          <w:p>
            <w:pPr>
              <w:spacing w:after="0"/>
              <w:rPr>
                <w:sz w:val="15"/>
                <w:szCs w:val="15"/>
                <w:color w:val="auto"/>
              </w:rPr>
            </w:pPr>
          </w:p>
        </w:tc>
        <w:tc>
          <w:tcPr>
            <w:tcW w:w="3100" w:type="dxa"/>
            <w:vAlign w:val="bottom"/>
            <w:tcBorders>
              <w:right w:val="single" w:sz="8" w:color="231F20"/>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10%  of  the  total  number  of  issued</w:t>
            </w:r>
          </w:p>
        </w:tc>
        <w:tc>
          <w:tcPr>
            <w:tcW w:w="60" w:type="dxa"/>
            <w:vAlign w:val="bottom"/>
          </w:tcPr>
          <w:p>
            <w:pPr>
              <w:spacing w:after="0"/>
              <w:rPr>
                <w:sz w:val="15"/>
                <w:szCs w:val="15"/>
                <w:color w:val="auto"/>
              </w:rPr>
            </w:pPr>
          </w:p>
        </w:tc>
        <w:tc>
          <w:tcPr>
            <w:tcW w:w="1280" w:type="dxa"/>
            <w:vAlign w:val="bottom"/>
            <w:tcBorders>
              <w:right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70,162,633</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 of the Company (excluding any</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18"/>
                <w:szCs w:val="18"/>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treasury  shares)  as  of  the  date  of</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231F20"/>
              <w:right w:val="single" w:sz="8" w:color="231F20"/>
            </w:tcBorders>
          </w:tcPr>
          <w:p>
            <w:pPr>
              <w:spacing w:after="0"/>
              <w:rPr>
                <w:sz w:val="4"/>
                <w:szCs w:val="4"/>
                <w:color w:val="auto"/>
              </w:rPr>
            </w:pPr>
          </w:p>
        </w:tc>
        <w:tc>
          <w:tcPr>
            <w:tcW w:w="310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passing of this resolution.</w:t>
            </w:r>
          </w:p>
        </w:tc>
        <w:tc>
          <w:tcPr>
            <w:tcW w:w="60" w:type="dxa"/>
            <w:vAlign w:val="bottom"/>
            <w:tcBorders>
              <w:bottom w:val="single" w:sz="8" w:color="231F20"/>
            </w:tcBorders>
          </w:tcPr>
          <w:p>
            <w:pPr>
              <w:spacing w:after="0"/>
              <w:rPr>
                <w:sz w:val="4"/>
                <w:szCs w:val="4"/>
                <w:color w:val="auto"/>
              </w:rPr>
            </w:pPr>
          </w:p>
        </w:tc>
        <w:tc>
          <w:tcPr>
            <w:tcW w:w="1280" w:type="dxa"/>
            <w:vAlign w:val="bottom"/>
            <w:tcBorders>
              <w:bottom w:val="single" w:sz="8" w:color="231F20"/>
              <w:right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400" w:type="dxa"/>
            <w:vAlign w:val="bottom"/>
            <w:tcBorders>
              <w:bottom w:val="single" w:sz="8" w:color="231F20"/>
            </w:tcBorders>
          </w:tcPr>
          <w:p>
            <w:pPr>
              <w:spacing w:after="0"/>
              <w:rPr>
                <w:sz w:val="4"/>
                <w:szCs w:val="4"/>
                <w:color w:val="auto"/>
              </w:rPr>
            </w:pPr>
          </w:p>
        </w:tc>
        <w:tc>
          <w:tcPr>
            <w:tcW w:w="620" w:type="dxa"/>
            <w:vAlign w:val="bottom"/>
            <w:tcBorders>
              <w:bottom w:val="single" w:sz="8" w:color="231F20"/>
              <w:right w:val="single" w:sz="8" w:color="231F20"/>
            </w:tcBorders>
          </w:tcPr>
          <w:p>
            <w:pPr>
              <w:spacing w:after="0"/>
              <w:rPr>
                <w:sz w:val="4"/>
                <w:szCs w:val="4"/>
                <w:color w:val="auto"/>
              </w:rPr>
            </w:pPr>
          </w:p>
        </w:tc>
        <w:tc>
          <w:tcPr>
            <w:tcW w:w="120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949,949,099</w:t>
            </w:r>
          </w:p>
        </w:tc>
        <w:tc>
          <w:tcPr>
            <w:tcW w:w="0" w:type="dxa"/>
            <w:vAlign w:val="bottom"/>
          </w:tcPr>
          <w:p>
            <w:pPr>
              <w:spacing w:after="0"/>
              <w:rPr>
                <w:sz w:val="1"/>
                <w:szCs w:val="1"/>
                <w:color w:val="auto"/>
              </w:rPr>
            </w:pP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00" w:type="dxa"/>
            <w:vAlign w:val="bottom"/>
            <w:tcBorders>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Borders>
              <w:left w:val="single" w:sz="8" w:color="231F20"/>
              <w:right w:val="single" w:sz="8" w:color="231F20"/>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To extend the general mandate granted</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245,843,769</w:t>
            </w:r>
          </w:p>
        </w:tc>
        <w:tc>
          <w:tcPr>
            <w:tcW w:w="1240" w:type="dxa"/>
            <w:vAlign w:val="bottom"/>
            <w:tcBorders>
              <w:right w:val="single" w:sz="8" w:color="231F20"/>
            </w:tcBorders>
          </w:tcPr>
          <w:p>
            <w:pPr>
              <w:spacing w:after="0" w:line="191" w:lineRule="exact"/>
              <w:rPr>
                <w:sz w:val="20"/>
                <w:szCs w:val="20"/>
                <w:color w:val="auto"/>
              </w:rPr>
            </w:pPr>
            <w:r>
              <w:rPr>
                <w:rFonts w:ascii="Times New Roman" w:cs="Times New Roman" w:eastAsia="Times New Roman" w:hAnsi="Times New Roman"/>
                <w:sz w:val="18"/>
                <w:szCs w:val="18"/>
                <w:color w:val="auto"/>
              </w:rPr>
              <w:t>2,479,000</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30"/>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0" w:type="dxa"/>
            <w:vAlign w:val="bottom"/>
          </w:tcPr>
          <w:p>
            <w:pPr>
              <w:spacing w:after="0"/>
              <w:rPr>
                <w:sz w:val="1"/>
                <w:szCs w:val="1"/>
                <w:color w:val="auto"/>
              </w:rPr>
            </w:pPr>
          </w:p>
        </w:tc>
      </w:tr>
      <w:tr>
        <w:trPr>
          <w:trHeight w:val="243"/>
        </w:trPr>
        <w:tc>
          <w:tcPr>
            <w:tcW w:w="660" w:type="dxa"/>
            <w:vAlign w:val="bottom"/>
            <w:tcBorders>
              <w:left w:val="single" w:sz="8" w:color="231F20"/>
              <w:right w:val="single" w:sz="8" w:color="231F20"/>
            </w:tcBorders>
          </w:tcPr>
          <w:p>
            <w:pPr>
              <w:spacing w:after="0"/>
              <w:rPr>
                <w:sz w:val="21"/>
                <w:szCs w:val="21"/>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the Directors to issue, allot, and deal</w:t>
            </w:r>
          </w:p>
        </w:tc>
        <w:tc>
          <w:tcPr>
            <w:tcW w:w="60" w:type="dxa"/>
            <w:vAlign w:val="bottom"/>
          </w:tcPr>
          <w:p>
            <w:pPr>
              <w:spacing w:after="0"/>
              <w:rPr>
                <w:sz w:val="21"/>
                <w:szCs w:val="21"/>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(99.001702%)</w:t>
            </w:r>
          </w:p>
        </w:tc>
        <w:tc>
          <w:tcPr>
            <w:tcW w:w="12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(0.998298%)</w:t>
            </w:r>
          </w:p>
        </w:tc>
        <w:tc>
          <w:tcPr>
            <w:tcW w:w="400" w:type="dxa"/>
            <w:vAlign w:val="bottom"/>
          </w:tcPr>
          <w:p>
            <w:pPr>
              <w:spacing w:after="0"/>
              <w:rPr>
                <w:sz w:val="21"/>
                <w:szCs w:val="21"/>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with additional Shares and/or ADSs, or</w:t>
            </w: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231F20"/>
              <w:right w:val="single" w:sz="8" w:color="231F20"/>
            </w:tcBorders>
          </w:tcPr>
          <w:p>
            <w:pPr>
              <w:spacing w:after="0"/>
              <w:rPr>
                <w:sz w:val="15"/>
                <w:szCs w:val="15"/>
                <w:color w:val="auto"/>
              </w:rPr>
            </w:pPr>
          </w:p>
        </w:tc>
        <w:tc>
          <w:tcPr>
            <w:tcW w:w="3100" w:type="dxa"/>
            <w:vAlign w:val="bottom"/>
            <w:tcBorders>
              <w:right w:val="single" w:sz="8" w:color="231F20"/>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sell and/or transfer additional Shares out</w:t>
            </w:r>
          </w:p>
        </w:tc>
        <w:tc>
          <w:tcPr>
            <w:tcW w:w="60" w:type="dxa"/>
            <w:vAlign w:val="bottom"/>
          </w:tcPr>
          <w:p>
            <w:pPr>
              <w:spacing w:after="0"/>
              <w:rPr>
                <w:sz w:val="15"/>
                <w:szCs w:val="15"/>
                <w:color w:val="auto"/>
              </w:rPr>
            </w:pPr>
          </w:p>
        </w:tc>
        <w:tc>
          <w:tcPr>
            <w:tcW w:w="1280" w:type="dxa"/>
            <w:vAlign w:val="bottom"/>
            <w:tcBorders>
              <w:right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70,162,633</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701,626,330</w:t>
            </w: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of treasury that are held as treasury</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400" w:type="dxa"/>
            <w:vAlign w:val="bottom"/>
          </w:tcPr>
          <w:p>
            <w:pPr>
              <w:spacing w:after="0"/>
              <w:rPr>
                <w:sz w:val="18"/>
                <w:szCs w:val="18"/>
                <w:color w:val="auto"/>
              </w:rPr>
            </w:pPr>
          </w:p>
        </w:tc>
        <w:tc>
          <w:tcPr>
            <w:tcW w:w="620" w:type="dxa"/>
            <w:vAlign w:val="bottom"/>
            <w:tcBorders>
              <w:right w:val="single" w:sz="8" w:color="231F20"/>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231F20"/>
              <w:right w:val="single" w:sz="8" w:color="231F20"/>
            </w:tcBorders>
          </w:tcPr>
          <w:p>
            <w:pPr>
              <w:spacing w:after="0"/>
              <w:rPr>
                <w:sz w:val="18"/>
                <w:szCs w:val="18"/>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 in the capital of the Company by</w:t>
            </w:r>
          </w:p>
        </w:tc>
        <w:tc>
          <w:tcPr>
            <w:tcW w:w="60" w:type="dxa"/>
            <w:vAlign w:val="bottom"/>
          </w:tcPr>
          <w:p>
            <w:pPr>
              <w:spacing w:after="0"/>
              <w:rPr>
                <w:sz w:val="18"/>
                <w:szCs w:val="18"/>
                <w:color w:val="auto"/>
              </w:rPr>
            </w:pPr>
          </w:p>
        </w:tc>
        <w:tc>
          <w:tcPr>
            <w:tcW w:w="1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0" w:type="dxa"/>
            <w:vAlign w:val="bottom"/>
            <w:tcBorders>
              <w:left w:val="single" w:sz="8" w:color="231F20"/>
              <w:right w:val="single" w:sz="8" w:color="231F20"/>
            </w:tcBorders>
          </w:tcPr>
          <w:p>
            <w:pPr>
              <w:spacing w:after="0"/>
              <w:rPr>
                <w:sz w:val="4"/>
                <w:szCs w:val="4"/>
                <w:color w:val="auto"/>
              </w:rPr>
            </w:pPr>
          </w:p>
        </w:tc>
        <w:tc>
          <w:tcPr>
            <w:tcW w:w="3100" w:type="dxa"/>
            <w:vAlign w:val="bottom"/>
            <w:tcBorders>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aggregate number of  the  Shares</w:t>
            </w:r>
          </w:p>
        </w:tc>
        <w:tc>
          <w:tcPr>
            <w:tcW w:w="60" w:type="dxa"/>
            <w:vAlign w:val="bottom"/>
            <w:tcBorders>
              <w:bottom w:val="single" w:sz="8" w:color="231F20"/>
            </w:tcBorders>
          </w:tcPr>
          <w:p>
            <w:pPr>
              <w:spacing w:after="0"/>
              <w:rPr>
                <w:sz w:val="4"/>
                <w:szCs w:val="4"/>
                <w:color w:val="auto"/>
              </w:rPr>
            </w:pPr>
          </w:p>
        </w:tc>
        <w:tc>
          <w:tcPr>
            <w:tcW w:w="1280" w:type="dxa"/>
            <w:vAlign w:val="bottom"/>
            <w:tcBorders>
              <w:bottom w:val="single" w:sz="8" w:color="231F20"/>
              <w:right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400" w:type="dxa"/>
            <w:vAlign w:val="bottom"/>
            <w:tcBorders>
              <w:bottom w:val="single" w:sz="8" w:color="231F20"/>
            </w:tcBorders>
          </w:tcPr>
          <w:p>
            <w:pPr>
              <w:spacing w:after="0"/>
              <w:rPr>
                <w:sz w:val="4"/>
                <w:szCs w:val="4"/>
                <w:color w:val="auto"/>
              </w:rPr>
            </w:pPr>
          </w:p>
        </w:tc>
        <w:tc>
          <w:tcPr>
            <w:tcW w:w="620" w:type="dxa"/>
            <w:vAlign w:val="bottom"/>
            <w:tcBorders>
              <w:bottom w:val="single" w:sz="8" w:color="231F20"/>
              <w:right w:val="single" w:sz="8" w:color="231F20"/>
            </w:tcBorders>
          </w:tcPr>
          <w:p>
            <w:pPr>
              <w:spacing w:after="0"/>
              <w:rPr>
                <w:sz w:val="4"/>
                <w:szCs w:val="4"/>
                <w:color w:val="auto"/>
              </w:rPr>
            </w:pPr>
          </w:p>
        </w:tc>
        <w:tc>
          <w:tcPr>
            <w:tcW w:w="120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231F20"/>
              <w:right w:val="single" w:sz="8" w:color="231F20"/>
            </w:tcBorders>
          </w:tcPr>
          <w:p>
            <w:pPr>
              <w:spacing w:after="0"/>
              <w:rPr>
                <w:sz w:val="15"/>
                <w:szCs w:val="15"/>
                <w:color w:val="auto"/>
              </w:rPr>
            </w:pPr>
          </w:p>
        </w:tc>
        <w:tc>
          <w:tcPr>
            <w:tcW w:w="3100" w:type="dxa"/>
            <w:vAlign w:val="bottom"/>
            <w:tcBorders>
              <w:right w:val="single" w:sz="8" w:color="231F20"/>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Borders>
              <w:right w:val="single" w:sz="8" w:color="231F20"/>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947,470,099</w:t>
            </w:r>
          </w:p>
        </w:tc>
        <w:tc>
          <w:tcPr>
            <w:tcW w:w="1240" w:type="dxa"/>
            <w:vAlign w:val="bottom"/>
            <w:tcBorders>
              <w:right w:val="single" w:sz="8" w:color="231F20"/>
            </w:tcBorders>
          </w:tcPr>
          <w:p>
            <w:pPr>
              <w:spacing w:after="0" w:line="182" w:lineRule="exact"/>
              <w:rPr>
                <w:sz w:val="20"/>
                <w:szCs w:val="20"/>
                <w:color w:val="auto"/>
              </w:rPr>
            </w:pPr>
            <w:r>
              <w:rPr>
                <w:rFonts w:ascii="Times New Roman" w:cs="Times New Roman" w:eastAsia="Times New Roman" w:hAnsi="Times New Roman"/>
                <w:sz w:val="18"/>
                <w:szCs w:val="18"/>
                <w:color w:val="auto"/>
              </w:rPr>
              <w:t>2,479,000</w:t>
            </w:r>
          </w:p>
        </w:tc>
        <w:tc>
          <w:tcPr>
            <w:tcW w:w="400" w:type="dxa"/>
            <w:vAlign w:val="bottom"/>
          </w:tcPr>
          <w:p>
            <w:pPr>
              <w:spacing w:after="0"/>
              <w:rPr>
                <w:sz w:val="15"/>
                <w:szCs w:val="15"/>
                <w:color w:val="auto"/>
              </w:rPr>
            </w:pPr>
          </w:p>
        </w:tc>
        <w:tc>
          <w:tcPr>
            <w:tcW w:w="620" w:type="dxa"/>
            <w:vAlign w:val="bottom"/>
            <w:tcBorders>
              <w:right w:val="single" w:sz="8" w:color="231F20"/>
            </w:tcBorders>
          </w:tcPr>
          <w:p>
            <w:pPr>
              <w:jc w:val="center"/>
              <w:ind w:right="330"/>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949,949,099</w:t>
            </w:r>
          </w:p>
        </w:tc>
        <w:tc>
          <w:tcPr>
            <w:tcW w:w="0" w:type="dxa"/>
            <w:vAlign w:val="bottom"/>
          </w:tcPr>
          <w:p>
            <w:pPr>
              <w:spacing w:after="0"/>
              <w:rPr>
                <w:sz w:val="1"/>
                <w:szCs w:val="1"/>
                <w:color w:val="auto"/>
              </w:rPr>
            </w:pPr>
          </w:p>
        </w:tc>
      </w:tr>
      <w:tr>
        <w:trPr>
          <w:trHeight w:val="191"/>
        </w:trPr>
        <w:tc>
          <w:tcPr>
            <w:tcW w:w="660" w:type="dxa"/>
            <w:vAlign w:val="bottom"/>
            <w:tcBorders>
              <w:left w:val="single" w:sz="8" w:color="231F20"/>
              <w:right w:val="single" w:sz="8" w:color="231F20"/>
            </w:tcBorders>
          </w:tcPr>
          <w:p>
            <w:pPr>
              <w:spacing w:after="0"/>
              <w:rPr>
                <w:sz w:val="16"/>
                <w:szCs w:val="16"/>
                <w:color w:val="auto"/>
              </w:rPr>
            </w:pPr>
          </w:p>
        </w:tc>
        <w:tc>
          <w:tcPr>
            <w:tcW w:w="3100" w:type="dxa"/>
            <w:vAlign w:val="bottom"/>
            <w:tcBorders>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and/or  Shares  underlying  the  ADSs</w:t>
            </w:r>
          </w:p>
        </w:tc>
        <w:tc>
          <w:tcPr>
            <w:tcW w:w="60" w:type="dxa"/>
            <w:vAlign w:val="bottom"/>
          </w:tcPr>
          <w:p>
            <w:pPr>
              <w:spacing w:after="0"/>
              <w:rPr>
                <w:sz w:val="16"/>
                <w:szCs w:val="16"/>
                <w:color w:val="auto"/>
              </w:rPr>
            </w:pPr>
          </w:p>
        </w:tc>
        <w:tc>
          <w:tcPr>
            <w:tcW w:w="12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(99.739039%)</w:t>
            </w:r>
          </w:p>
        </w:tc>
        <w:tc>
          <w:tcPr>
            <w:tcW w:w="1240" w:type="dxa"/>
            <w:vAlign w:val="bottom"/>
            <w:tcBorders>
              <w:right w:val="single" w:sz="8" w:color="231F20"/>
            </w:tcBorders>
          </w:tcPr>
          <w:p>
            <w:pPr>
              <w:spacing w:after="0" w:line="191" w:lineRule="exact"/>
              <w:rPr>
                <w:sz w:val="20"/>
                <w:szCs w:val="20"/>
                <w:color w:val="auto"/>
              </w:rPr>
            </w:pPr>
            <w:r>
              <w:rPr>
                <w:rFonts w:ascii="Times New Roman" w:cs="Times New Roman" w:eastAsia="Times New Roman" w:hAnsi="Times New Roman"/>
                <w:sz w:val="18"/>
                <w:szCs w:val="18"/>
                <w:color w:val="auto"/>
              </w:rPr>
              <w:t>(0.260961%)</w:t>
            </w:r>
          </w:p>
        </w:tc>
        <w:tc>
          <w:tcPr>
            <w:tcW w:w="400" w:type="dxa"/>
            <w:vAlign w:val="bottom"/>
          </w:tcPr>
          <w:p>
            <w:pPr>
              <w:spacing w:after="0"/>
              <w:rPr>
                <w:sz w:val="16"/>
                <w:szCs w:val="16"/>
                <w:color w:val="auto"/>
              </w:rPr>
            </w:pPr>
          </w:p>
        </w:tc>
        <w:tc>
          <w:tcPr>
            <w:tcW w:w="620" w:type="dxa"/>
            <w:vAlign w:val="bottom"/>
            <w:tcBorders>
              <w:right w:val="single" w:sz="8" w:color="231F20"/>
            </w:tcBorders>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6"/>
                <w:szCs w:val="16"/>
                <w:color w:val="auto"/>
              </w:rPr>
            </w:pPr>
          </w:p>
        </w:tc>
        <w:tc>
          <w:tcPr>
            <w:tcW w:w="13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right w:val="single" w:sz="8" w:color="231F20"/>
            </w:tcBorders>
          </w:tcPr>
          <w:p>
            <w:pPr>
              <w:spacing w:after="0"/>
              <w:rPr>
                <w:sz w:val="20"/>
                <w:szCs w:val="20"/>
                <w:color w:val="auto"/>
              </w:rPr>
            </w:pPr>
          </w:p>
        </w:tc>
        <w:tc>
          <w:tcPr>
            <w:tcW w:w="31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repurchased by the Company.</w:t>
            </w:r>
          </w:p>
        </w:tc>
        <w:tc>
          <w:tcPr>
            <w:tcW w:w="60" w:type="dxa"/>
            <w:vAlign w:val="bottom"/>
          </w:tcPr>
          <w:p>
            <w:pPr>
              <w:spacing w:after="0"/>
              <w:rPr>
                <w:sz w:val="20"/>
                <w:szCs w:val="20"/>
                <w:color w:val="auto"/>
              </w:rPr>
            </w:pPr>
          </w:p>
        </w:tc>
        <w:tc>
          <w:tcPr>
            <w:tcW w:w="128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231F20"/>
            </w:tcBorders>
          </w:tcPr>
          <w:p>
            <w:pPr>
              <w:spacing w:after="0"/>
              <w:rPr>
                <w:sz w:val="20"/>
                <w:szCs w:val="20"/>
                <w:color w:val="auto"/>
              </w:rPr>
            </w:pPr>
          </w:p>
        </w:tc>
        <w:tc>
          <w:tcPr>
            <w:tcW w:w="120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60" w:type="dxa"/>
            <w:vAlign w:val="bottom"/>
            <w:tcBorders>
              <w:left w:val="single" w:sz="8" w:color="231F20"/>
              <w:right w:val="single" w:sz="8" w:color="231F20"/>
            </w:tcBorders>
          </w:tcPr>
          <w:p>
            <w:pPr>
              <w:spacing w:after="0"/>
              <w:rPr>
                <w:sz w:val="3"/>
                <w:szCs w:val="3"/>
                <w:color w:val="auto"/>
              </w:rPr>
            </w:pPr>
          </w:p>
        </w:tc>
        <w:tc>
          <w:tcPr>
            <w:tcW w:w="3100" w:type="dxa"/>
            <w:vAlign w:val="bottom"/>
            <w:tcBorders>
              <w:right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Borders>
              <w:right w:val="single" w:sz="8" w:color="231F20"/>
            </w:tcBorders>
            <w:vMerge w:val="continue"/>
          </w:tcPr>
          <w:p>
            <w:pPr>
              <w:spacing w:after="0"/>
              <w:rPr>
                <w:sz w:val="3"/>
                <w:szCs w:val="3"/>
                <w:color w:val="auto"/>
              </w:rPr>
            </w:pPr>
          </w:p>
        </w:tc>
        <w:tc>
          <w:tcPr>
            <w:tcW w:w="1320" w:type="dxa"/>
            <w:vAlign w:val="bottom"/>
            <w:tcBorders>
              <w:right w:val="single" w:sz="8" w:color="231F20"/>
            </w:tcBorders>
          </w:tcPr>
          <w:p>
            <w:pPr>
              <w:spacing w:after="0"/>
              <w:rPr>
                <w:sz w:val="3"/>
                <w:szCs w:val="3"/>
                <w:color w:val="auto"/>
              </w:rPr>
            </w:pPr>
          </w:p>
        </w:tc>
        <w:tc>
          <w:tcPr>
            <w:tcW w:w="1240" w:type="dxa"/>
            <w:vAlign w:val="bottom"/>
            <w:tcBorders>
              <w:right w:val="single" w:sz="8" w:color="231F20"/>
            </w:tcBorders>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Borders>
              <w:right w:val="single" w:sz="8" w:color="231F20"/>
            </w:tcBorders>
          </w:tcPr>
          <w:p>
            <w:pPr>
              <w:spacing w:after="0"/>
              <w:rPr>
                <w:sz w:val="3"/>
                <w:szCs w:val="3"/>
                <w:color w:val="auto"/>
              </w:rPr>
            </w:pPr>
          </w:p>
        </w:tc>
        <w:tc>
          <w:tcPr>
            <w:tcW w:w="1200" w:type="dxa"/>
            <w:vAlign w:val="bottom"/>
            <w:tcBorders>
              <w:right w:val="single" w:sz="8" w:color="231F20"/>
            </w:tcBorders>
          </w:tcPr>
          <w:p>
            <w:pPr>
              <w:spacing w:after="0"/>
              <w:rPr>
                <w:sz w:val="3"/>
                <w:szCs w:val="3"/>
                <w:color w:val="auto"/>
              </w:rPr>
            </w:pPr>
          </w:p>
        </w:tc>
        <w:tc>
          <w:tcPr>
            <w:tcW w:w="136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00" w:type="dxa"/>
            <w:vAlign w:val="bottom"/>
            <w:tcBorders>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231F20"/>
              <w:right w:val="single" w:sz="8" w:color="231F20"/>
            </w:tcBorders>
          </w:tcPr>
          <w:p>
            <w:pPr>
              <w:spacing w:after="0"/>
              <w:rPr>
                <w:sz w:val="18"/>
                <w:szCs w:val="18"/>
                <w:color w:val="auto"/>
              </w:rPr>
            </w:pPr>
          </w:p>
        </w:tc>
        <w:tc>
          <w:tcPr>
            <w:tcW w:w="10580" w:type="dxa"/>
            <w:vAlign w:val="bottom"/>
            <w:tcBorders>
              <w:right w:val="single" w:sz="8" w:color="231F20"/>
            </w:tcBorders>
            <w:gridSpan w:val="9"/>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6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28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40" w:type="dxa"/>
            <w:vAlign w:val="bottom"/>
            <w:tcBorders>
              <w:top w:val="single" w:sz="8" w:color="231F20"/>
              <w:left w:val="single" w:sz="8" w:color="231F20"/>
            </w:tcBorders>
          </w:tcPr>
          <w:p>
            <w:pPr>
              <w:spacing w:after="0"/>
              <w:rPr>
                <w:sz w:val="20"/>
                <w:szCs w:val="20"/>
                <w:color w:val="auto"/>
              </w:rPr>
            </w:pPr>
          </w:p>
        </w:tc>
        <w:tc>
          <w:tcPr>
            <w:tcW w:w="380" w:type="dxa"/>
            <w:vAlign w:val="bottom"/>
            <w:tcBorders>
              <w:top w:val="single" w:sz="8" w:color="231F20"/>
            </w:tcBorders>
          </w:tcPr>
          <w:p>
            <w:pPr>
              <w:spacing w:after="0"/>
              <w:rPr>
                <w:sz w:val="20"/>
                <w:szCs w:val="20"/>
                <w:color w:val="auto"/>
              </w:rPr>
            </w:pPr>
          </w:p>
        </w:tc>
        <w:tc>
          <w:tcPr>
            <w:tcW w:w="2780" w:type="dxa"/>
            <w:vAlign w:val="bottom"/>
            <w:tcBorders>
              <w:top w:val="single" w:sz="8" w:color="231F20"/>
            </w:tcBorders>
          </w:tcPr>
          <w:p>
            <w:pPr>
              <w:spacing w:after="0"/>
              <w:rPr>
                <w:sz w:val="20"/>
                <w:szCs w:val="20"/>
                <w:color w:val="auto"/>
              </w:rPr>
            </w:pPr>
          </w:p>
        </w:tc>
        <w:tc>
          <w:tcPr>
            <w:tcW w:w="1320" w:type="dxa"/>
            <w:vAlign w:val="bottom"/>
            <w:tcBorders>
              <w:top w:val="single" w:sz="8" w:color="231F20"/>
              <w:right w:val="single" w:sz="8" w:color="231F20"/>
            </w:tcBorders>
          </w:tcPr>
          <w:p>
            <w:pPr>
              <w:spacing w:after="0"/>
              <w:rPr>
                <w:sz w:val="20"/>
                <w:szCs w:val="20"/>
                <w:color w:val="auto"/>
              </w:rPr>
            </w:pPr>
          </w:p>
        </w:tc>
        <w:tc>
          <w:tcPr>
            <w:tcW w:w="3560" w:type="dxa"/>
            <w:vAlign w:val="bottom"/>
            <w:tcBorders>
              <w:top w:val="single" w:sz="8" w:color="231F20"/>
              <w:right w:val="single" w:sz="8" w:color="231F20"/>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NUMBER OF VOTES CAST</w:t>
            </w:r>
          </w:p>
        </w:tc>
        <w:tc>
          <w:tcPr>
            <w:tcW w:w="120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38"/>
        </w:trPr>
        <w:tc>
          <w:tcPr>
            <w:tcW w:w="640" w:type="dxa"/>
            <w:vAlign w:val="bottom"/>
            <w:tcBorders>
              <w:lef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20" w:type="dxa"/>
            <w:vAlign w:val="bottom"/>
            <w:tcBorders>
              <w:right w:val="single" w:sz="8" w:color="231F20"/>
            </w:tcBorders>
          </w:tcPr>
          <w:p>
            <w:pPr>
              <w:spacing w:after="0"/>
              <w:rPr>
                <w:sz w:val="20"/>
                <w:szCs w:val="20"/>
                <w:color w:val="auto"/>
              </w:rPr>
            </w:pPr>
          </w:p>
        </w:tc>
        <w:tc>
          <w:tcPr>
            <w:tcW w:w="3560" w:type="dxa"/>
            <w:vAlign w:val="bottom"/>
            <w:tcBorders>
              <w:bottom w:val="single" w:sz="8" w:color="231F20"/>
              <w:right w:val="single" w:sz="8" w:color="231F20"/>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AND PERCENTAGE (%)</w:t>
            </w:r>
          </w:p>
        </w:tc>
        <w:tc>
          <w:tcPr>
            <w:tcW w:w="12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4"/>
        </w:trPr>
        <w:tc>
          <w:tcPr>
            <w:tcW w:w="640" w:type="dxa"/>
            <w:vAlign w:val="bottom"/>
            <w:tcBorders>
              <w:lef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ORDINARY RESOLUTIONS</w:t>
            </w:r>
          </w:p>
        </w:tc>
        <w:tc>
          <w:tcPr>
            <w:tcW w:w="1320" w:type="dxa"/>
            <w:vAlign w:val="bottom"/>
            <w:tcBorders>
              <w:right w:val="single" w:sz="8" w:color="231F20"/>
            </w:tcBorders>
          </w:tcPr>
          <w:p>
            <w:pPr>
              <w:spacing w:after="0"/>
              <w:rPr>
                <w:sz w:val="15"/>
                <w:szCs w:val="15"/>
                <w:color w:val="auto"/>
              </w:rPr>
            </w:pPr>
          </w:p>
        </w:tc>
        <w:tc>
          <w:tcPr>
            <w:tcW w:w="1320" w:type="dxa"/>
            <w:vAlign w:val="bottom"/>
            <w:tcBorders>
              <w:right w:val="single" w:sz="8" w:color="231F20"/>
            </w:tcBorders>
          </w:tcPr>
          <w:p>
            <w:pPr>
              <w:spacing w:after="0"/>
              <w:rPr>
                <w:sz w:val="15"/>
                <w:szCs w:val="15"/>
                <w:color w:val="auto"/>
              </w:rPr>
            </w:pPr>
          </w:p>
        </w:tc>
        <w:tc>
          <w:tcPr>
            <w:tcW w:w="122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120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 VOTING</w:t>
            </w:r>
          </w:p>
        </w:tc>
        <w:tc>
          <w:tcPr>
            <w:tcW w:w="1360" w:type="dxa"/>
            <w:vAlign w:val="bottom"/>
            <w:tcBorders>
              <w:right w:val="single" w:sz="8" w:color="231F20"/>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306"/>
        </w:trPr>
        <w:tc>
          <w:tcPr>
            <w:tcW w:w="640" w:type="dxa"/>
            <w:vAlign w:val="bottom"/>
            <w:tcBorders>
              <w:left w:val="single" w:sz="8" w:color="231F20"/>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278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right w:val="single" w:sz="8" w:color="231F20"/>
            </w:tcBorders>
          </w:tcPr>
          <w:p>
            <w:pPr>
              <w:spacing w:after="0"/>
              <w:rPr>
                <w:sz w:val="24"/>
                <w:szCs w:val="24"/>
                <w:color w:val="auto"/>
              </w:rPr>
            </w:pPr>
          </w:p>
        </w:tc>
        <w:tc>
          <w:tcPr>
            <w:tcW w:w="1320" w:type="dxa"/>
            <w:vAlign w:val="bottom"/>
            <w:tcBorders>
              <w:bottom w:val="single" w:sz="8" w:color="231F20"/>
              <w:right w:val="single" w:sz="8" w:color="231F20"/>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2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20" w:type="dxa"/>
            <w:vAlign w:val="bottom"/>
            <w:tcBorders>
              <w:bottom w:val="single" w:sz="8" w:color="231F20"/>
              <w:right w:val="single" w:sz="8" w:color="231F20"/>
            </w:tcBorders>
          </w:tcPr>
          <w:p>
            <w:pPr>
              <w:ind w:left="120"/>
              <w:spacing w:after="0" w:line="306" w:lineRule="exact"/>
              <w:rPr>
                <w:sz w:val="20"/>
                <w:szCs w:val="20"/>
                <w:color w:val="auto"/>
              </w:rPr>
            </w:pPr>
            <w:r>
              <w:rPr>
                <w:rFonts w:ascii="Times New Roman" w:cs="Times New Roman" w:eastAsia="Times New Roman" w:hAnsi="Times New Roman"/>
                <w:sz w:val="18"/>
                <w:szCs w:val="18"/>
                <w:b w:val="1"/>
                <w:bCs w:val="1"/>
                <w:color w:val="auto"/>
                <w:w w:val="95"/>
              </w:rPr>
              <w:t>ABSTAIN</w:t>
            </w:r>
            <w:r>
              <w:rPr>
                <w:rFonts w:ascii="Times New Roman" w:cs="Times New Roman" w:eastAsia="Times New Roman" w:hAnsi="Times New Roman"/>
                <w:sz w:val="29"/>
                <w:szCs w:val="29"/>
                <w:b w:val="1"/>
                <w:bCs w:val="1"/>
                <w:color w:val="auto"/>
                <w:w w:val="95"/>
                <w:vertAlign w:val="superscript"/>
              </w:rPr>
              <w:t>1</w:t>
            </w:r>
          </w:p>
        </w:tc>
        <w:tc>
          <w:tcPr>
            <w:tcW w:w="12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191"/>
        </w:trPr>
        <w:tc>
          <w:tcPr>
            <w:tcW w:w="640" w:type="dxa"/>
            <w:vAlign w:val="bottom"/>
            <w:tcBorders>
              <w:left w:val="single" w:sz="8" w:color="231F20"/>
              <w:right w:val="single" w:sz="8" w:color="231F20"/>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w:t>
            </w:r>
          </w:p>
        </w:tc>
        <w:tc>
          <w:tcPr>
            <w:tcW w:w="2780" w:type="dxa"/>
            <w:vAlign w:val="bottom"/>
            <w:tcBorders>
              <w:right w:val="single" w:sz="8" w:color="231F20"/>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re-appoint PricewaterhouseCoopers</w:t>
            </w:r>
          </w:p>
        </w:tc>
        <w:tc>
          <w:tcPr>
            <w:tcW w:w="1320" w:type="dxa"/>
            <w:vAlign w:val="bottom"/>
            <w:tcBorders>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248,307,169</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15,600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248,322,769</w:t>
            </w:r>
          </w:p>
        </w:tc>
        <w:tc>
          <w:tcPr>
            <w:tcW w:w="0" w:type="dxa"/>
            <w:vAlign w:val="bottom"/>
          </w:tcPr>
          <w:p>
            <w:pPr>
              <w:spacing w:after="0"/>
              <w:rPr>
                <w:sz w:val="1"/>
                <w:szCs w:val="1"/>
                <w:color w:val="auto"/>
              </w:rPr>
            </w:pPr>
          </w:p>
        </w:tc>
      </w:tr>
      <w:tr>
        <w:trPr>
          <w:trHeight w:val="243"/>
        </w:trPr>
        <w:tc>
          <w:tcPr>
            <w:tcW w:w="640" w:type="dxa"/>
            <w:vAlign w:val="bottom"/>
            <w:tcBorders>
              <w:left w:val="single" w:sz="8" w:color="231F20"/>
              <w:right w:val="single" w:sz="8" w:color="231F20"/>
            </w:tcBorders>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and</w:t>
            </w:r>
          </w:p>
        </w:tc>
        <w:tc>
          <w:tcPr>
            <w:tcW w:w="2780" w:type="dxa"/>
            <w:vAlign w:val="bottom"/>
            <w:tcBorders>
              <w:right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PricewaterhouseCoopers   Zhong</w:t>
            </w:r>
          </w:p>
        </w:tc>
        <w:tc>
          <w:tcPr>
            <w:tcW w:w="13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(99.993718%)</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(0.006282%)</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231F20"/>
              <w:right w:val="single" w:sz="8" w:color="231F20"/>
            </w:tcBorders>
          </w:tcPr>
          <w:p>
            <w:pPr>
              <w:spacing w:after="0"/>
              <w:rPr>
                <w:sz w:val="20"/>
                <w:szCs w:val="20"/>
                <w:color w:val="auto"/>
              </w:rPr>
            </w:pPr>
          </w:p>
        </w:tc>
        <w:tc>
          <w:tcPr>
            <w:tcW w:w="31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Tian LLP as auditors of the Company to</w:t>
            </w:r>
          </w:p>
        </w:tc>
        <w:tc>
          <w:tcPr>
            <w:tcW w:w="132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231F20"/>
              <w:right w:val="single" w:sz="8" w:color="231F20"/>
            </w:tcBorders>
          </w:tcPr>
          <w:p>
            <w:pPr>
              <w:spacing w:after="0"/>
              <w:rPr>
                <w:sz w:val="15"/>
                <w:szCs w:val="15"/>
                <w:color w:val="auto"/>
              </w:rPr>
            </w:pPr>
          </w:p>
        </w:tc>
        <w:tc>
          <w:tcPr>
            <w:tcW w:w="3160" w:type="dxa"/>
            <w:vAlign w:val="bottom"/>
            <w:tcBorders>
              <w:right w:val="single" w:sz="8" w:color="231F20"/>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hold office until the conclusion of the</w:t>
            </w:r>
          </w:p>
        </w:tc>
        <w:tc>
          <w:tcPr>
            <w:tcW w:w="1320" w:type="dxa"/>
            <w:vAlign w:val="bottom"/>
            <w:tcBorders>
              <w:right w:val="single" w:sz="8" w:color="231F20"/>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70,162,633</w:t>
            </w:r>
          </w:p>
        </w:tc>
        <w:tc>
          <w:tcPr>
            <w:tcW w:w="12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70,162,633</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70,162,633</w:t>
            </w:r>
          </w:p>
        </w:tc>
        <w:tc>
          <w:tcPr>
            <w:tcW w:w="0" w:type="dxa"/>
            <w:vAlign w:val="bottom"/>
          </w:tcPr>
          <w:p>
            <w:pPr>
              <w:spacing w:after="0"/>
              <w:rPr>
                <w:sz w:val="1"/>
                <w:szCs w:val="1"/>
                <w:color w:val="auto"/>
              </w:rPr>
            </w:pPr>
          </w:p>
        </w:tc>
      </w:tr>
      <w:tr>
        <w:trPr>
          <w:trHeight w:val="216"/>
        </w:trPr>
        <w:tc>
          <w:tcPr>
            <w:tcW w:w="640" w:type="dxa"/>
            <w:vAlign w:val="bottom"/>
            <w:tcBorders>
              <w:left w:val="single" w:sz="8" w:color="231F20"/>
              <w:right w:val="single" w:sz="8" w:color="231F20"/>
            </w:tcBorders>
          </w:tcPr>
          <w:p>
            <w:pPr>
              <w:spacing w:after="0"/>
              <w:rPr>
                <w:sz w:val="18"/>
                <w:szCs w:val="18"/>
                <w:color w:val="auto"/>
              </w:rPr>
            </w:pPr>
          </w:p>
        </w:tc>
        <w:tc>
          <w:tcPr>
            <w:tcW w:w="31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next  annual  general  meeting  of  the</w:t>
            </w:r>
          </w:p>
        </w:tc>
        <w:tc>
          <w:tcPr>
            <w:tcW w:w="13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231F20"/>
              <w:right w:val="single" w:sz="8" w:color="231F20"/>
            </w:tcBorders>
          </w:tcPr>
          <w:p>
            <w:pPr>
              <w:spacing w:after="0"/>
              <w:rPr>
                <w:sz w:val="18"/>
                <w:szCs w:val="18"/>
                <w:color w:val="auto"/>
              </w:rPr>
            </w:pPr>
          </w:p>
        </w:tc>
        <w:tc>
          <w:tcPr>
            <w:tcW w:w="31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and to authorize the Board to</w:t>
            </w:r>
          </w:p>
        </w:tc>
        <w:tc>
          <w:tcPr>
            <w:tcW w:w="13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231F20"/>
              <w:right w:val="single" w:sz="8" w:color="231F20"/>
            </w:tcBorders>
          </w:tcPr>
          <w:p>
            <w:pPr>
              <w:spacing w:after="0"/>
              <w:rPr>
                <w:sz w:val="4"/>
                <w:szCs w:val="4"/>
                <w:color w:val="auto"/>
              </w:rPr>
            </w:pPr>
          </w:p>
        </w:tc>
        <w:tc>
          <w:tcPr>
            <w:tcW w:w="3160" w:type="dxa"/>
            <w:vAlign w:val="bottom"/>
            <w:tcBorders>
              <w:right w:val="single" w:sz="8" w:color="231F20"/>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fix  their  remuneration  for  the  year</w:t>
            </w:r>
          </w:p>
        </w:tc>
        <w:tc>
          <w:tcPr>
            <w:tcW w:w="1320" w:type="dxa"/>
            <w:vAlign w:val="bottom"/>
            <w:tcBorders>
              <w:bottom w:val="single" w:sz="8" w:color="231F20"/>
              <w:right w:val="single" w:sz="8" w:color="231F20"/>
            </w:tcBorders>
          </w:tcPr>
          <w:p>
            <w:pPr>
              <w:spacing w:after="0"/>
              <w:rPr>
                <w:sz w:val="4"/>
                <w:szCs w:val="4"/>
                <w:color w:val="auto"/>
              </w:rPr>
            </w:pPr>
          </w:p>
        </w:tc>
        <w:tc>
          <w:tcPr>
            <w:tcW w:w="1320" w:type="dxa"/>
            <w:vAlign w:val="bottom"/>
            <w:tcBorders>
              <w:bottom w:val="single" w:sz="8" w:color="231F20"/>
              <w:right w:val="single" w:sz="8" w:color="231F20"/>
            </w:tcBorders>
          </w:tcPr>
          <w:p>
            <w:pPr>
              <w:spacing w:after="0"/>
              <w:rPr>
                <w:sz w:val="4"/>
                <w:szCs w:val="4"/>
                <w:color w:val="auto"/>
              </w:rPr>
            </w:pPr>
          </w:p>
        </w:tc>
        <w:tc>
          <w:tcPr>
            <w:tcW w:w="1220" w:type="dxa"/>
            <w:vAlign w:val="bottom"/>
            <w:tcBorders>
              <w:bottom w:val="single" w:sz="8" w:color="231F20"/>
              <w:right w:val="single" w:sz="8" w:color="231F20"/>
            </w:tcBorders>
          </w:tcPr>
          <w:p>
            <w:pPr>
              <w:spacing w:after="0"/>
              <w:rPr>
                <w:sz w:val="4"/>
                <w:szCs w:val="4"/>
                <w:color w:val="auto"/>
              </w:rPr>
            </w:pPr>
          </w:p>
        </w:tc>
        <w:tc>
          <w:tcPr>
            <w:tcW w:w="1020" w:type="dxa"/>
            <w:vAlign w:val="bottom"/>
            <w:tcBorders>
              <w:bottom w:val="single" w:sz="8" w:color="231F20"/>
              <w:right w:val="single" w:sz="8" w:color="231F20"/>
            </w:tcBorders>
          </w:tcPr>
          <w:p>
            <w:pPr>
              <w:spacing w:after="0"/>
              <w:rPr>
                <w:sz w:val="4"/>
                <w:szCs w:val="4"/>
                <w:color w:val="auto"/>
              </w:rPr>
            </w:pPr>
          </w:p>
        </w:tc>
        <w:tc>
          <w:tcPr>
            <w:tcW w:w="120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231F20"/>
              <w:right w:val="single" w:sz="8" w:color="231F20"/>
            </w:tcBorders>
          </w:tcPr>
          <w:p>
            <w:pPr>
              <w:spacing w:after="0"/>
              <w:rPr>
                <w:sz w:val="15"/>
                <w:szCs w:val="15"/>
                <w:color w:val="auto"/>
              </w:rPr>
            </w:pPr>
          </w:p>
        </w:tc>
        <w:tc>
          <w:tcPr>
            <w:tcW w:w="3160" w:type="dxa"/>
            <w:vAlign w:val="bottom"/>
            <w:tcBorders>
              <w:right w:val="single" w:sz="8" w:color="231F20"/>
            </w:tcBorders>
            <w:gridSpan w:val="2"/>
            <w:vMerge w:val="continue"/>
          </w:tcPr>
          <w:p>
            <w:pPr>
              <w:spacing w:after="0"/>
              <w:rPr>
                <w:sz w:val="15"/>
                <w:szCs w:val="15"/>
                <w:color w:val="auto"/>
              </w:rPr>
            </w:pPr>
          </w:p>
        </w:tc>
        <w:tc>
          <w:tcPr>
            <w:tcW w:w="1320" w:type="dxa"/>
            <w:vAlign w:val="bottom"/>
            <w:tcBorders>
              <w:right w:val="single" w:sz="8" w:color="231F20"/>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318,469,802</w:t>
            </w:r>
          </w:p>
        </w:tc>
        <w:tc>
          <w:tcPr>
            <w:tcW w:w="12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15,600</w:t>
            </w:r>
          </w:p>
        </w:tc>
        <w:tc>
          <w:tcPr>
            <w:tcW w:w="102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318,485,402</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318,485,402</w:t>
            </w:r>
          </w:p>
        </w:tc>
        <w:tc>
          <w:tcPr>
            <w:tcW w:w="0" w:type="dxa"/>
            <w:vAlign w:val="bottom"/>
          </w:tcPr>
          <w:p>
            <w:pPr>
              <w:spacing w:after="0"/>
              <w:rPr>
                <w:sz w:val="1"/>
                <w:szCs w:val="1"/>
                <w:color w:val="auto"/>
              </w:rPr>
            </w:pPr>
          </w:p>
        </w:tc>
      </w:tr>
      <w:tr>
        <w:trPr>
          <w:trHeight w:val="252"/>
        </w:trPr>
        <w:tc>
          <w:tcPr>
            <w:tcW w:w="640" w:type="dxa"/>
            <w:vAlign w:val="bottom"/>
            <w:tcBorders>
              <w:left w:val="single" w:sz="8" w:color="231F20"/>
              <w:right w:val="single" w:sz="8" w:color="231F20"/>
            </w:tcBorders>
          </w:tcPr>
          <w:p>
            <w:pPr>
              <w:spacing w:after="0"/>
              <w:rPr>
                <w:sz w:val="21"/>
                <w:szCs w:val="21"/>
                <w:color w:val="auto"/>
              </w:rPr>
            </w:pPr>
          </w:p>
        </w:tc>
        <w:tc>
          <w:tcPr>
            <w:tcW w:w="31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December 31, 2026.</w:t>
            </w:r>
          </w:p>
        </w:tc>
        <w:tc>
          <w:tcPr>
            <w:tcW w:w="13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13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(99.995102%)</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(0.004898%)</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right w:val="single" w:sz="8" w:color="231F20"/>
            </w:tcBorders>
          </w:tcPr>
          <w:p>
            <w:pPr>
              <w:spacing w:after="0"/>
              <w:rPr>
                <w:sz w:val="21"/>
                <w:szCs w:val="21"/>
                <w:color w:val="auto"/>
              </w:rPr>
            </w:pPr>
          </w:p>
        </w:tc>
        <w:tc>
          <w:tcPr>
            <w:tcW w:w="13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231F20"/>
              <w:right w:val="single" w:sz="8" w:color="231F20"/>
            </w:tcBorders>
          </w:tcPr>
          <w:p>
            <w:pPr>
              <w:spacing w:after="0"/>
              <w:rPr>
                <w:sz w:val="18"/>
                <w:szCs w:val="18"/>
                <w:color w:val="auto"/>
              </w:rPr>
            </w:pPr>
          </w:p>
        </w:tc>
        <w:tc>
          <w:tcPr>
            <w:tcW w:w="380" w:type="dxa"/>
            <w:vAlign w:val="bottom"/>
          </w:tcPr>
          <w:p>
            <w:pPr>
              <w:spacing w:after="0"/>
              <w:rPr>
                <w:sz w:val="18"/>
                <w:szCs w:val="18"/>
                <w:color w:val="auto"/>
              </w:rPr>
            </w:pPr>
          </w:p>
        </w:tc>
        <w:tc>
          <w:tcPr>
            <w:tcW w:w="2780" w:type="dxa"/>
            <w:vAlign w:val="bottom"/>
            <w:tcBorders>
              <w:right w:val="single" w:sz="8" w:color="231F20"/>
            </w:tcBorders>
          </w:tcPr>
          <w:p>
            <w:pPr>
              <w:spacing w:after="0"/>
              <w:rPr>
                <w:sz w:val="18"/>
                <w:szCs w:val="18"/>
                <w:color w:val="auto"/>
              </w:rPr>
            </w:pPr>
          </w:p>
        </w:tc>
        <w:tc>
          <w:tcPr>
            <w:tcW w:w="13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(CLASS A &amp;</w:t>
            </w:r>
          </w:p>
        </w:tc>
        <w:tc>
          <w:tcPr>
            <w:tcW w:w="13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0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231F20"/>
              <w:bottom w:val="single" w:sz="8" w:color="231F20"/>
              <w:right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2780" w:type="dxa"/>
            <w:vAlign w:val="bottom"/>
            <w:tcBorders>
              <w:bottom w:val="single" w:sz="8" w:color="231F20"/>
              <w:right w:val="single" w:sz="8" w:color="231F20"/>
            </w:tcBorders>
          </w:tcPr>
          <w:p>
            <w:pPr>
              <w:spacing w:after="0"/>
              <w:rPr>
                <w:sz w:val="20"/>
                <w:szCs w:val="20"/>
                <w:color w:val="auto"/>
              </w:rPr>
            </w:pPr>
          </w:p>
        </w:tc>
        <w:tc>
          <w:tcPr>
            <w:tcW w:w="132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0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0" w:type="dxa"/>
            <w:vAlign w:val="bottom"/>
            <w:tcBorders>
              <w:left w:val="single" w:sz="8" w:color="231F20"/>
              <w:right w:val="single" w:sz="8" w:color="231F20"/>
            </w:tcBorders>
          </w:tcPr>
          <w:p>
            <w:pPr>
              <w:spacing w:after="0"/>
              <w:rPr>
                <w:sz w:val="18"/>
                <w:szCs w:val="18"/>
                <w:color w:val="auto"/>
              </w:rPr>
            </w:pPr>
          </w:p>
        </w:tc>
        <w:tc>
          <w:tcPr>
            <w:tcW w:w="10600" w:type="dxa"/>
            <w:vAlign w:val="bottom"/>
            <w:tcBorders>
              <w:right w:val="single" w:sz="8" w:color="231F20"/>
            </w:tcBorders>
            <w:gridSpan w:val="8"/>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640" w:type="dxa"/>
            <w:vAlign w:val="bottom"/>
            <w:tcBorders>
              <w:left w:val="single" w:sz="8" w:color="231F20"/>
              <w:bottom w:val="single" w:sz="8" w:color="231F20"/>
              <w:right w:val="single" w:sz="8" w:color="231F20"/>
            </w:tcBorders>
          </w:tcPr>
          <w:p>
            <w:pPr>
              <w:spacing w:after="0"/>
              <w:rPr>
                <w:sz w:val="20"/>
                <w:szCs w:val="20"/>
                <w:color w:val="auto"/>
              </w:rPr>
            </w:pPr>
          </w:p>
        </w:tc>
        <w:tc>
          <w:tcPr>
            <w:tcW w:w="316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attending the AGM cast in favour thereof.</w:t>
            </w:r>
          </w:p>
        </w:tc>
        <w:tc>
          <w:tcPr>
            <w:tcW w:w="13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40" w:hanging="498"/>
        <w:spacing w:after="0"/>
        <w:tabs>
          <w:tab w:leader="none" w:pos="11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According to the laws of the Cayman Islands, the Shares in abstention shall not be counted as votes cast at the AGM.</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share registrar in Hong Kong, Computershare Hong Kong Investor Services Limited, acted as the scrutineer for the vote-taking at the AGM.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Directors of the Company, namely Mr. WANG Xueji, Mr. CHEN Liaohan, Mr. YANG Yi, Ms. ZHANG Yan, Mr. HUANG Sidney Xuande, Mr. QIU Changheng, Mr. KUOK Meng Xiong (alias GUO Mengxiong) and Mr. YIP Pak Tung Jason attended the AGM, either in person or via electronic means.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6"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9"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b w:val="1"/>
          <w:bCs w:val="1"/>
          <w:color w:val="auto"/>
        </w:rPr>
        <w:t>WANG Xueji</w:t>
      </w:r>
    </w:p>
    <w:p>
      <w:pPr>
        <w:spacing w:after="0" w:line="9"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June 18,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2026-06-18T15:02:49Z</dcterms:created>
  <dcterms:modified xsi:type="dcterms:W3CDTF">2026-06-18T15:02:49Z</dcterms:modified>
</cp:coreProperties>
</file>