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151"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2"/>
          <w:szCs w:val="12"/>
          <w:b w:val="1"/>
          <w:bCs w:val="1"/>
          <w:color w:val="auto"/>
        </w:rPr>
        <w:t>REPORT OF FOREIGN PRIVATE ISSUER</w:t>
      </w:r>
    </w:p>
    <w:p>
      <w:pPr>
        <w:spacing w:after="0" w:line="21"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2"/>
          <w:szCs w:val="12"/>
          <w:b w:val="1"/>
          <w:bCs w:val="1"/>
          <w:color w:val="auto"/>
        </w:rPr>
        <w:t>PURSUANT TO RULE 13a-16 OR 15d-16 UNDER</w:t>
      </w:r>
    </w:p>
    <w:p>
      <w:pPr>
        <w:spacing w:after="0" w:line="6"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3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2"/>
          <w:szCs w:val="12"/>
          <w:b w:val="1"/>
          <w:bCs w:val="1"/>
          <w:color w:val="auto"/>
        </w:rPr>
        <w:t>For the month of May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104775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9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b w:val="1"/>
          <w:bCs w:val="1"/>
          <w:color w:val="auto"/>
        </w:rPr>
        <w:t>Commission File Number: 001-40210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104775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8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Tuya Inc.</w:t>
      </w:r>
    </w:p>
    <w:p>
      <w:pPr>
        <w:spacing w:after="0" w:line="15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2"/>
          <w:szCs w:val="12"/>
          <w:b w:val="1"/>
          <w:bCs w:val="1"/>
          <w:color w:val="auto"/>
        </w:rPr>
        <w:t>10/F, Building A, Huace Center</w:t>
      </w:r>
    </w:p>
    <w:p>
      <w:pPr>
        <w:spacing w:after="0" w:line="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2"/>
          <w:szCs w:val="12"/>
          <w:b w:val="1"/>
          <w:bCs w:val="1"/>
          <w:color w:val="auto"/>
        </w:rPr>
        <w:t>Xihu District, Hangzhou City</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2"/>
          <w:szCs w:val="12"/>
          <w:b w:val="1"/>
          <w:bCs w:val="1"/>
          <w:color w:val="auto"/>
        </w:rPr>
        <w:t>Zhejiang, 310012</w:t>
      </w:r>
    </w:p>
    <w:p>
      <w:pPr>
        <w:spacing w:after="0" w:line="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2"/>
          <w:szCs w:val="12"/>
          <w:b w:val="1"/>
          <w:bCs w:val="1"/>
          <w:color w:val="auto"/>
        </w:rPr>
        <w:t>People’s Republic of China</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22" w:lineRule="exact"/>
        <w:rPr>
          <w:sz w:val="24"/>
          <w:szCs w:val="24"/>
          <w:color w:val="auto"/>
        </w:rPr>
      </w:pPr>
    </w:p>
    <w:p>
      <w:pPr>
        <w:ind w:left="4700"/>
        <w:spacing w:after="0" w:line="138" w:lineRule="exact"/>
        <w:tabs>
          <w:tab w:leader="none" w:pos="5320" w:val="left"/>
          <w:tab w:leader="none" w:pos="5840" w:val="left"/>
        </w:tabs>
        <w:rPr>
          <w:sz w:val="20"/>
          <w:szCs w:val="20"/>
          <w:color w:val="auto"/>
        </w:rPr>
      </w:pPr>
      <w:r>
        <w:rPr>
          <w:rFonts w:ascii="Times New Roman" w:cs="Times New Roman" w:eastAsia="Times New Roman" w:hAnsi="Times New Roman"/>
          <w:sz w:val="12"/>
          <w:szCs w:val="12"/>
          <w:color w:val="auto"/>
        </w:rPr>
        <w:t>Form 20-F</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 xml:space="preserve">Form 40-F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120015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137160</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331470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54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b w:val="1"/>
          <w:bCs w:val="1"/>
          <w:color w:val="auto"/>
        </w:rPr>
        <w:t>EXPLANATORY NOTE</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submitted next day disclosure return forms dated May 14, 15, 18, 19 and 20, 2026, respectively, to The Stock Exchange of Hong Kong Limited in relation to the changes in our issued share capital and/or share buybacks.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details, please refer to the exhibits to this current report on Form 6-K.</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9"/>
        </w:trPr>
        <w:tc>
          <w:tcPr>
            <w:tcW w:w="20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360" w:type="dxa"/>
            <w:vAlign w:val="bottom"/>
            <w:gridSpan w:val="2"/>
          </w:tcPr>
          <w:p>
            <w:pPr>
              <w:jc w:val="center"/>
              <w:ind w:right="2960"/>
              <w:spacing w:after="0"/>
              <w:rPr>
                <w:sz w:val="20"/>
                <w:szCs w:val="20"/>
                <w:color w:val="auto"/>
              </w:rPr>
            </w:pPr>
            <w:r>
              <w:rPr>
                <w:rFonts w:ascii="Times New Roman" w:cs="Times New Roman" w:eastAsia="Times New Roman" w:hAnsi="Times New Roman"/>
                <w:sz w:val="12"/>
                <w:szCs w:val="12"/>
                <w:b w:val="1"/>
                <w:bCs w:val="1"/>
                <w:color w:val="auto"/>
                <w:w w:val="98"/>
              </w:rPr>
              <w:t>EXHIBIT INDEX</w:t>
            </w:r>
          </w:p>
        </w:tc>
      </w:tr>
      <w:tr>
        <w:trPr>
          <w:trHeight w:val="288"/>
        </w:trPr>
        <w:tc>
          <w:tcPr>
            <w:tcW w:w="2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120" w:type="dxa"/>
            <w:vAlign w:val="bottom"/>
          </w:tcPr>
          <w:p>
            <w:pPr>
              <w:spacing w:after="0"/>
              <w:rPr>
                <w:sz w:val="24"/>
                <w:szCs w:val="24"/>
                <w:color w:val="auto"/>
              </w:rPr>
            </w:pPr>
          </w:p>
        </w:tc>
        <w:tc>
          <w:tcPr>
            <w:tcW w:w="8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106"/>
        </w:trPr>
        <w:tc>
          <w:tcPr>
            <w:tcW w:w="200" w:type="dxa"/>
            <w:vAlign w:val="bottom"/>
            <w:tcBorders>
              <w:bottom w:val="single" w:sz="8" w:color="0000EE"/>
            </w:tcBorders>
          </w:tcPr>
          <w:p>
            <w:pPr>
              <w:spacing w:after="0" w:line="106"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80" w:type="dxa"/>
            <w:vAlign w:val="bottom"/>
            <w:tcBorders>
              <w:bottom w:val="single" w:sz="8" w:color="0000EE"/>
            </w:tcBorders>
          </w:tcPr>
          <w:p>
            <w:pPr>
              <w:spacing w:after="0" w:line="106" w:lineRule="exact"/>
              <w:rPr>
                <w:sz w:val="20"/>
                <w:szCs w:val="20"/>
                <w:color w:val="auto"/>
              </w:rPr>
            </w:pPr>
            <w:r>
              <w:rPr>
                <w:rFonts w:ascii="Times New Roman" w:cs="Times New Roman" w:eastAsia="Times New Roman" w:hAnsi="Times New Roman"/>
                <w:sz w:val="12"/>
                <w:szCs w:val="12"/>
                <w:color w:val="0000EE"/>
                <w:w w:val="99"/>
              </w:rPr>
              <w:t>Next Day Disclosure Return Dated May 14, 2026</w:t>
            </w:r>
          </w:p>
        </w:tc>
        <w:tc>
          <w:tcPr>
            <w:tcW w:w="5980" w:type="dxa"/>
            <w:vAlign w:val="bottom"/>
          </w:tcPr>
          <w:p>
            <w:pPr>
              <w:spacing w:after="0"/>
              <w:rPr>
                <w:sz w:val="9"/>
                <w:szCs w:val="9"/>
                <w:color w:val="auto"/>
              </w:rPr>
            </w:pPr>
          </w:p>
        </w:tc>
      </w:tr>
      <w:tr>
        <w:trPr>
          <w:trHeight w:val="124"/>
        </w:trPr>
        <w:tc>
          <w:tcPr>
            <w:tcW w:w="20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9"/>
              </w:rPr>
              <w:t>Next Day Disclosure Return Dated May 15, 2026</w:t>
            </w:r>
          </w:p>
        </w:tc>
        <w:tc>
          <w:tcPr>
            <w:tcW w:w="5980" w:type="dxa"/>
            <w:vAlign w:val="bottom"/>
          </w:tcPr>
          <w:p>
            <w:pPr>
              <w:spacing w:after="0"/>
              <w:rPr>
                <w:sz w:val="10"/>
                <w:szCs w:val="10"/>
                <w:color w:val="auto"/>
              </w:rPr>
            </w:pPr>
          </w:p>
        </w:tc>
      </w:tr>
      <w:tr>
        <w:trPr>
          <w:trHeight w:val="124"/>
        </w:trPr>
        <w:tc>
          <w:tcPr>
            <w:tcW w:w="20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3</w:t>
            </w: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9"/>
              </w:rPr>
              <w:t>Next Day Disclosure Return Dated May 18, 2026</w:t>
            </w:r>
          </w:p>
        </w:tc>
        <w:tc>
          <w:tcPr>
            <w:tcW w:w="5980" w:type="dxa"/>
            <w:vAlign w:val="bottom"/>
          </w:tcPr>
          <w:p>
            <w:pPr>
              <w:spacing w:after="0"/>
              <w:rPr>
                <w:sz w:val="10"/>
                <w:szCs w:val="10"/>
                <w:color w:val="auto"/>
              </w:rPr>
            </w:pPr>
          </w:p>
        </w:tc>
      </w:tr>
      <w:tr>
        <w:trPr>
          <w:trHeight w:val="124"/>
        </w:trPr>
        <w:tc>
          <w:tcPr>
            <w:tcW w:w="20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4</w:t>
            </w: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9"/>
              </w:rPr>
              <w:t>Next Day Disclosure Return Dated May 19, 2026</w:t>
            </w:r>
          </w:p>
        </w:tc>
        <w:tc>
          <w:tcPr>
            <w:tcW w:w="5980" w:type="dxa"/>
            <w:vAlign w:val="bottom"/>
          </w:tcPr>
          <w:p>
            <w:pPr>
              <w:spacing w:after="0"/>
              <w:rPr>
                <w:sz w:val="10"/>
                <w:szCs w:val="10"/>
                <w:color w:val="auto"/>
              </w:rPr>
            </w:pPr>
          </w:p>
        </w:tc>
      </w:tr>
      <w:tr>
        <w:trPr>
          <w:trHeight w:val="124"/>
        </w:trPr>
        <w:tc>
          <w:tcPr>
            <w:tcW w:w="20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5</w:t>
            </w: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Borders>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9"/>
              </w:rPr>
              <w:t>Next Day Disclosure Return Dated May 20, 2026</w:t>
            </w:r>
          </w:p>
        </w:tc>
        <w:tc>
          <w:tcPr>
            <w:tcW w:w="5980" w:type="dxa"/>
            <w:vAlign w:val="bottom"/>
          </w:tcPr>
          <w:p>
            <w:pPr>
              <w:spacing w:after="0"/>
              <w:rPr>
                <w:sz w:val="10"/>
                <w:szCs w:val="10"/>
                <w:color w:val="auto"/>
              </w:rPr>
            </w:pPr>
          </w:p>
        </w:tc>
      </w:tr>
      <w:tr>
        <w:trPr>
          <w:trHeight w:val="439"/>
        </w:trPr>
        <w:tc>
          <w:tcPr>
            <w:tcW w:w="2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gridSpan w:val="3"/>
          </w:tcPr>
          <w:p>
            <w:pPr>
              <w:jc w:val="right"/>
              <w:ind w:right="5620"/>
              <w:spacing w:after="0"/>
              <w:rPr>
                <w:sz w:val="20"/>
                <w:szCs w:val="20"/>
                <w:color w:val="auto"/>
              </w:rPr>
            </w:pPr>
            <w:r>
              <w:rPr>
                <w:rFonts w:ascii="Times New Roman" w:cs="Times New Roman" w:eastAsia="Times New Roman" w:hAnsi="Times New Roman"/>
                <w:sz w:val="12"/>
                <w:szCs w:val="12"/>
                <w:color w:val="auto"/>
              </w:rPr>
              <w:t>3</w:t>
            </w:r>
          </w:p>
        </w:tc>
      </w:tr>
    </w:tbl>
    <w:p>
      <w:pPr>
        <w:sectPr>
          <w:pgSz w:w="11900" w:h="16838" w:orient="portrait"/>
          <w:cols w:equalWidth="0" w:num="1">
            <w:col w:w="11300"/>
          </w:cols>
          <w:pgMar w:left="300" w:top="647" w:right="29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16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Tuya Inc.</w:t>
            </w:r>
          </w:p>
        </w:tc>
        <w:tc>
          <w:tcPr>
            <w:tcW w:w="160" w:type="dxa"/>
            <w:vAlign w:val="bottom"/>
          </w:tcPr>
          <w:p>
            <w:pPr>
              <w:spacing w:after="0"/>
              <w:rPr>
                <w:sz w:val="13"/>
                <w:szCs w:val="13"/>
                <w:color w:val="auto"/>
              </w:rPr>
            </w:pPr>
          </w:p>
        </w:tc>
        <w:tc>
          <w:tcPr>
            <w:tcW w:w="4980" w:type="dxa"/>
            <w:vAlign w:val="bottom"/>
          </w:tcPr>
          <w:p>
            <w:pPr>
              <w:spacing w:after="0"/>
              <w:rPr>
                <w:sz w:val="13"/>
                <w:szCs w:val="13"/>
                <w:color w:val="auto"/>
              </w:rPr>
            </w:pPr>
          </w:p>
        </w:tc>
      </w:tr>
      <w:tr>
        <w:trPr>
          <w:trHeight w:val="288"/>
        </w:trPr>
        <w:tc>
          <w:tcPr>
            <w:tcW w:w="616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/s/ Yi (Alex) Yang</w:t>
            </w:r>
          </w:p>
        </w:tc>
      </w:tr>
      <w:tr>
        <w:trPr>
          <w:trHeight w:val="122"/>
        </w:trPr>
        <w:tc>
          <w:tcPr>
            <w:tcW w:w="6160" w:type="dxa"/>
            <w:vAlign w:val="bottom"/>
          </w:tcPr>
          <w:p>
            <w:pPr>
              <w:ind w:left="5660"/>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16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w:t>
            </w:r>
          </w:p>
        </w:tc>
        <w:tc>
          <w:tcPr>
            <w:tcW w:w="498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Yi (Alex) Yang</w:t>
            </w:r>
          </w:p>
        </w:tc>
      </w:tr>
      <w:tr>
        <w:trPr>
          <w:trHeight w:val="155"/>
        </w:trPr>
        <w:tc>
          <w:tcPr>
            <w:tcW w:w="616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Title</w:t>
            </w:r>
          </w:p>
        </w:tc>
        <w:tc>
          <w:tcPr>
            <w:tcW w:w="51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 Chief Financial Officer</w:t>
            </w:r>
          </w:p>
        </w:tc>
      </w:tr>
      <w:tr>
        <w:trPr>
          <w:trHeight w:val="288"/>
        </w:trPr>
        <w:tc>
          <w:tcPr>
            <w:tcW w:w="6160" w:type="dxa"/>
            <w:vAlign w:val="bottom"/>
          </w:tcPr>
          <w:p>
            <w:pPr>
              <w:spacing w:after="0"/>
              <w:rPr>
                <w:sz w:val="20"/>
                <w:szCs w:val="20"/>
                <w:color w:val="auto"/>
              </w:rPr>
            </w:pPr>
            <w:r>
              <w:rPr>
                <w:rFonts w:ascii="Times New Roman" w:cs="Times New Roman" w:eastAsia="Times New Roman" w:hAnsi="Times New Roman"/>
                <w:sz w:val="12"/>
                <w:szCs w:val="12"/>
                <w:color w:val="auto"/>
              </w:rPr>
              <w:t>Date: May 20, 2026</w:t>
            </w:r>
          </w:p>
        </w:tc>
        <w:tc>
          <w:tcPr>
            <w:tcW w:w="160" w:type="dxa"/>
            <w:vAlign w:val="bottom"/>
          </w:tcPr>
          <w:p>
            <w:pPr>
              <w:spacing w:after="0"/>
              <w:rPr>
                <w:sz w:val="24"/>
                <w:szCs w:val="24"/>
                <w:color w:val="auto"/>
              </w:rPr>
            </w:pPr>
          </w:p>
        </w:tc>
        <w:tc>
          <w:tcPr>
            <w:tcW w:w="4980" w:type="dxa"/>
            <w:vAlign w:val="bottom"/>
          </w:tcPr>
          <w:p>
            <w:pPr>
              <w:spacing w:after="0"/>
              <w:rPr>
                <w:sz w:val="24"/>
                <w:szCs w:val="24"/>
                <w:color w:val="auto"/>
              </w:rPr>
            </w:pPr>
          </w:p>
        </w:tc>
      </w:tr>
      <w:tr>
        <w:trPr>
          <w:trHeight w:val="432"/>
        </w:trPr>
        <w:tc>
          <w:tcPr>
            <w:tcW w:w="6160" w:type="dxa"/>
            <w:vAlign w:val="bottom"/>
            <w:tcBorders>
              <w:bottom w:val="single" w:sz="8" w:color="auto"/>
            </w:tcBorders>
          </w:tcPr>
          <w:p>
            <w:pPr>
              <w:ind w:left="5620"/>
              <w:spacing w:after="0"/>
              <w:rPr>
                <w:sz w:val="20"/>
                <w:szCs w:val="20"/>
                <w:color w:val="auto"/>
              </w:rPr>
            </w:pPr>
            <w:r>
              <w:rPr>
                <w:rFonts w:ascii="Times New Roman" w:cs="Times New Roman" w:eastAsia="Times New Roman" w:hAnsi="Times New Roman"/>
                <w:sz w:val="12"/>
                <w:szCs w:val="12"/>
                <w:color w:val="auto"/>
              </w:rPr>
              <w:t>4</w:t>
            </w:r>
          </w:p>
        </w:tc>
        <w:tc>
          <w:tcPr>
            <w:tcW w:w="16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4" w:name="page5"/>
    <w:bookmarkEnd w:id="4"/>
    <w:p>
      <w:pPr>
        <w:ind w:left="954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-596900</wp:posOffset>
            </wp:positionH>
            <wp:positionV relativeFrom="paragraph">
              <wp:posOffset>37465</wp:posOffset>
            </wp:positionV>
            <wp:extent cx="7087235" cy="5497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7235" cy="549783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5503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7235" cy="5503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5503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7235" cy="5503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5503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7235" cy="5503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316865</wp:posOffset>
            </wp:positionH>
            <wp:positionV relativeFrom="page">
              <wp:posOffset>88900</wp:posOffset>
            </wp:positionV>
            <wp:extent cx="7087235" cy="5503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7235" cy="5503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37465</wp:posOffset>
            </wp:positionV>
            <wp:extent cx="6823710" cy="4960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23710" cy="496062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23710" cy="4966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23710" cy="496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6565" cy="4966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6565" cy="496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23710" cy="4966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23710" cy="496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23710" cy="4966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23710" cy="496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ind w:left="9540"/>
        <w:spacing w:after="0"/>
        <w:rPr>
          <w:sz w:val="20"/>
          <w:szCs w:val="20"/>
          <w:color w:val="auto"/>
        </w:rPr>
      </w:pPr>
      <w:r>
        <w:rPr>
          <w:rFonts w:ascii="Times New Roman" w:cs="Times New Roman" w:eastAsia="Times New Roman" w:hAnsi="Times New Roman"/>
          <w:sz w:val="11"/>
          <w:szCs w:val="11"/>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37465</wp:posOffset>
            </wp:positionV>
            <wp:extent cx="6823710" cy="4960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23710" cy="496062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23710" cy="4966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23710" cy="496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6565" cy="4966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06565" cy="496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23710" cy="4966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23710" cy="496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23710" cy="4966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23710" cy="496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ind w:left="9540"/>
        <w:spacing w:after="0"/>
        <w:rPr>
          <w:sz w:val="20"/>
          <w:szCs w:val="20"/>
          <w:color w:val="auto"/>
        </w:rPr>
      </w:pPr>
      <w:r>
        <w:rPr>
          <w:rFonts w:ascii="Times New Roman" w:cs="Times New Roman" w:eastAsia="Times New Roman" w:hAnsi="Times New Roman"/>
          <w:sz w:val="11"/>
          <w:szCs w:val="11"/>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37465</wp:posOffset>
            </wp:positionV>
            <wp:extent cx="6823710" cy="4960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23710" cy="496062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23710" cy="4966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23710" cy="496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6565" cy="4966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06565" cy="496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23710" cy="4966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23710" cy="496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23710" cy="4966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23710" cy="496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ind w:left="9540"/>
        <w:spacing w:after="0"/>
        <w:rPr>
          <w:sz w:val="20"/>
          <w:szCs w:val="20"/>
          <w:color w:val="auto"/>
        </w:rPr>
      </w:pPr>
      <w:r>
        <w:rPr>
          <w:rFonts w:ascii="Times New Roman" w:cs="Times New Roman" w:eastAsia="Times New Roman" w:hAnsi="Times New Roman"/>
          <w:sz w:val="11"/>
          <w:szCs w:val="11"/>
          <w:b w:val="1"/>
          <w:bCs w:val="1"/>
          <w:color w:val="auto"/>
        </w:rPr>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37465</wp:posOffset>
            </wp:positionV>
            <wp:extent cx="6823710" cy="4960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23710" cy="496062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23710" cy="4966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23710" cy="496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6565" cy="4966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06565" cy="496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23710" cy="4966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23710" cy="49663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23710" cy="4966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23710" cy="49663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2026-05-20T07:33:38Z</dcterms:created>
  <dcterms:modified xsi:type="dcterms:W3CDTF">2026-05-20T07:33:38Z</dcterms:modified>
</cp:coreProperties>
</file>