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025d1_6k.htm"/>
      <w:bookmarkStart w:id="1" w:name="kstm2627025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001-40210</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Tuya Inc.</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10/F, Building A, Huace Center</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Xihu District, Hangzhou City</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Zhejiang, 310012</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submitted a monthly return form dated October 5, 2026 in relation to the movements in our authorized share capital and issued shares in September 2026 to The Stock Exchange of Hong Kong Limited. For details, please refer to the exhibit to this current report on Form 6-K.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6310" w:type="dxa"/>
        <w:jc w:val="left"/>
        <w:tblInd w:w="0" w:type="dxa"/>
        <w:tblLayout w:type="fixed"/>
        <w:tblCellMar>
          <w:top w:w="0" w:type="dxa"/>
          <w:left w:w="0" w:type="dxa"/>
          <w:bottom w:w="28" w:type="dxa"/>
          <w:right w:w="0" w:type="dxa"/>
        </w:tblCellMar>
      </w:tblPr>
      <w:tblGrid>
        <w:gridCol w:w="1205"/>
        <w:gridCol w:w="60"/>
        <w:gridCol w:w="5045"/>
      </w:tblGrid>
      <w:tr>
        <w:trPr/>
        <w:tc>
          <w:tcPr>
            <w:tcW w:w="1205"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5045"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1205" w:type="dxa"/>
            <w:tcBorders/>
            <w:tcMar>
              <w:bottom w:w="0" w:type="dxa"/>
            </w:tcMar>
            <w:vAlign w:val="center"/>
          </w:tcPr>
          <w:p>
            <w:pPr>
              <w:pStyle w:val="TableContents"/>
              <w:bidi w:val="0"/>
              <w:spacing w:before="0" w:after="283"/>
              <w:jc w:val="left"/>
              <w:rPr/>
            </w:pPr>
            <w:hyperlink w:anchor="tm2627025d1_ex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5045" w:type="dxa"/>
            <w:tcBorders/>
            <w:tcMar>
              <w:bottom w:w="0" w:type="dxa"/>
            </w:tcMar>
            <w:vAlign w:val="center"/>
          </w:tcPr>
          <w:p>
            <w:pPr>
              <w:pStyle w:val="TableContents"/>
              <w:bidi w:val="0"/>
              <w:spacing w:before="0" w:after="283"/>
              <w:jc w:val="left"/>
              <w:rPr/>
            </w:pPr>
            <w:hyperlink w:anchor="tm2627025d1_ex99-1.htm">
              <w:r>
                <w:rPr>
                  <w:rStyle w:val="InternetLink"/>
                  <w:sz w:val="20"/>
                </w:rPr>
                <w:t>Monthly Return for Equity Issuer on Movements in Securities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80" w:type="dxa"/>
        <w:jc w:val="left"/>
        <w:tblInd w:w="0" w:type="dxa"/>
        <w:tblLayout w:type="fixed"/>
        <w:tblCellMar>
          <w:top w:w="0" w:type="dxa"/>
          <w:left w:w="0" w:type="dxa"/>
          <w:bottom w:w="0" w:type="dxa"/>
          <w:right w:w="0" w:type="dxa"/>
        </w:tblCellMar>
      </w:tblPr>
      <w:tblGrid>
        <w:gridCol w:w="75"/>
        <w:gridCol w:w="530"/>
        <w:gridCol w:w="80"/>
        <w:gridCol w:w="1895"/>
      </w:tblGrid>
      <w:tr>
        <w:trPr/>
        <w:tc>
          <w:tcPr>
            <w:tcW w:w="75" w:type="dxa"/>
            <w:tcBorders/>
            <w:vAlign w:val="center"/>
          </w:tcPr>
          <w:p>
            <w:pPr>
              <w:pStyle w:val="TableContents"/>
              <w:bidi w:val="0"/>
              <w:spacing w:before="0" w:after="283"/>
              <w:ind w:left="0" w:right="0" w:hanging="200"/>
              <w:jc w:val="left"/>
              <w:rPr/>
            </w:pPr>
            <w:r>
              <w:rPr/>
              <w:t> </w:t>
            </w:r>
          </w:p>
        </w:tc>
        <w:tc>
          <w:tcPr>
            <w:tcW w:w="2505" w:type="dxa"/>
            <w:gridSpan w:val="3"/>
            <w:tcBorders/>
            <w:vAlign w:val="center"/>
          </w:tcPr>
          <w:p>
            <w:pPr>
              <w:pStyle w:val="TableContents"/>
              <w:bidi w:val="0"/>
              <w:spacing w:before="0" w:after="283"/>
              <w:ind w:left="0" w:right="0" w:hanging="200"/>
              <w:jc w:val="left"/>
              <w:rPr>
                <w:sz w:val="20"/>
              </w:rPr>
            </w:pPr>
            <w:r>
              <w:rPr>
                <w:sz w:val="20"/>
              </w:rPr>
              <w:t>Tuya Inc.</w:t>
            </w:r>
          </w:p>
        </w:tc>
      </w:tr>
      <w:tr>
        <w:trPr/>
        <w:tc>
          <w:tcPr>
            <w:tcW w:w="75" w:type="dxa"/>
            <w:tcBorders/>
            <w:vAlign w:val="center"/>
          </w:tcPr>
          <w:p>
            <w:pPr>
              <w:pStyle w:val="TableContents"/>
              <w:bidi w:val="0"/>
              <w:spacing w:before="0" w:after="283"/>
              <w:jc w:val="left"/>
              <w:rPr/>
            </w:pPr>
            <w:r>
              <w:rPr/>
              <w:t> </w:t>
            </w:r>
          </w:p>
        </w:tc>
        <w:tc>
          <w:tcPr>
            <w:tcW w:w="2505" w:type="dxa"/>
            <w:gridSpan w:val="3"/>
            <w:tcBorders/>
            <w:vAlign w:val="center"/>
          </w:tcPr>
          <w:p>
            <w:pPr>
              <w:pStyle w:val="TableContents"/>
              <w:bidi w:val="0"/>
              <w:spacing w:before="0" w:after="283"/>
              <w:ind w:left="0" w:right="0" w:hanging="200"/>
              <w:jc w:val="left"/>
              <w:rPr/>
            </w:pPr>
            <w:r>
              <w:rPr/>
              <w:t> </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200"/>
              <w:jc w:val="left"/>
              <w:rPr>
                <w:sz w:val="20"/>
              </w:rPr>
            </w:pPr>
            <w:r>
              <w:rPr>
                <w:sz w:val="20"/>
              </w:rPr>
              <w:t xml:space="preserve">By </w:t>
            </w:r>
          </w:p>
        </w:tc>
        <w:tc>
          <w:tcPr>
            <w:tcW w:w="80" w:type="dxa"/>
            <w:tcBorders/>
            <w:vAlign w:val="center"/>
          </w:tcPr>
          <w:p>
            <w:pPr>
              <w:pStyle w:val="TableContents"/>
              <w:bidi w:val="0"/>
              <w:spacing w:before="0" w:after="283"/>
              <w:jc w:val="left"/>
              <w:rPr>
                <w:sz w:val="20"/>
              </w:rPr>
            </w:pPr>
            <w:r>
              <w:rPr>
                <w:sz w:val="20"/>
              </w:rPr>
              <w:t>:</w:t>
            </w:r>
          </w:p>
        </w:tc>
        <w:tc>
          <w:tcPr>
            <w:tcW w:w="1895" w:type="dxa"/>
            <w:tcBorders>
              <w:bottom w:val="single" w:sz="8" w:space="0" w:color="000000"/>
            </w:tcBorders>
            <w:tcMar>
              <w:bottom w:w="28" w:type="dxa"/>
            </w:tcMar>
            <w:vAlign w:val="center"/>
          </w:tcPr>
          <w:p>
            <w:pPr>
              <w:pStyle w:val="TableContents"/>
              <w:bidi w:val="0"/>
              <w:spacing w:before="0" w:after="283"/>
              <w:ind w:left="0" w:right="0" w:hanging="200"/>
              <w:jc w:val="left"/>
              <w:rPr>
                <w:sz w:val="20"/>
              </w:rPr>
            </w:pPr>
            <w:r>
              <w:rPr>
                <w:sz w:val="20"/>
              </w:rPr>
              <w:t>/s/ Yi (Alex) Yang</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200"/>
              <w:jc w:val="left"/>
              <w:rPr>
                <w:sz w:val="20"/>
              </w:rPr>
            </w:pPr>
            <w:r>
              <w:rPr>
                <w:sz w:val="20"/>
              </w:rPr>
              <w:t xml:space="preserve">Name </w:t>
            </w:r>
          </w:p>
        </w:tc>
        <w:tc>
          <w:tcPr>
            <w:tcW w:w="80" w:type="dxa"/>
            <w:tcBorders/>
            <w:vAlign w:val="center"/>
          </w:tcPr>
          <w:p>
            <w:pPr>
              <w:pStyle w:val="TableContents"/>
              <w:bidi w:val="0"/>
              <w:spacing w:before="0" w:after="283"/>
              <w:jc w:val="left"/>
              <w:rPr>
                <w:sz w:val="20"/>
              </w:rPr>
            </w:pPr>
            <w:r>
              <w:rPr>
                <w:sz w:val="20"/>
              </w:rPr>
              <w:t>:</w:t>
            </w:r>
          </w:p>
        </w:tc>
        <w:tc>
          <w:tcPr>
            <w:tcW w:w="1895" w:type="dxa"/>
            <w:tcBorders/>
            <w:vAlign w:val="center"/>
          </w:tcPr>
          <w:p>
            <w:pPr>
              <w:pStyle w:val="TableContents"/>
              <w:bidi w:val="0"/>
              <w:spacing w:before="0" w:after="283"/>
              <w:ind w:left="0" w:right="0" w:hanging="200"/>
              <w:jc w:val="left"/>
              <w:rPr>
                <w:sz w:val="20"/>
                <w:shd w:fill="FFFFFF" w:val="clear"/>
              </w:rPr>
            </w:pPr>
            <w:r>
              <w:rPr>
                <w:sz w:val="20"/>
                <w:shd w:fill="FFFFFF" w:val="clear"/>
              </w:rPr>
              <w:t>Yi (Alex) Yang</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200"/>
              <w:jc w:val="left"/>
              <w:rPr>
                <w:sz w:val="20"/>
              </w:rPr>
            </w:pPr>
            <w:r>
              <w:rPr>
                <w:sz w:val="20"/>
              </w:rPr>
              <w:t>Title</w:t>
            </w:r>
          </w:p>
        </w:tc>
        <w:tc>
          <w:tcPr>
            <w:tcW w:w="80" w:type="dxa"/>
            <w:tcBorders/>
            <w:vAlign w:val="center"/>
          </w:tcPr>
          <w:p>
            <w:pPr>
              <w:pStyle w:val="TableContents"/>
              <w:bidi w:val="0"/>
              <w:spacing w:before="0" w:after="283"/>
              <w:jc w:val="left"/>
              <w:rPr>
                <w:sz w:val="20"/>
              </w:rPr>
            </w:pPr>
            <w:r>
              <w:rPr>
                <w:sz w:val="20"/>
              </w:rPr>
              <w:t>:</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2" w:name="tm2627025d1_ex99-1.htm"/>
      <w:bookmarkStart w:id="3" w:name="kstm2627025d1_ex991"/>
      <w:bookmarkEnd w:id="2"/>
      <w:bookmarkEnd w:id="3"/>
      <w:r>
        <w:rPr>
          <w:rFonts w:ascii="Times New Roman" w:hAnsi="Times New Roman"/>
          <w:b/>
          <w:sz w:val="20"/>
        </w:rPr>
        <w:t>Exhibit 99.1</w:t>
      </w:r>
      <w:r>
        <w:br w:type="page"/>
      </w:r>
    </w:p>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10 v 1.2.1 Monthly Return for Equity Issuer and Hong Kong Depositary Receipts listed under Chapter 19B of the Exchange Listing Rules on Movements in Securities For the month ended: 30 September 2026 Status: New Submission To : Hong Kong Exchanges and Clearing Limited Name of Issuer: Tuya Inc. (A company controlled through weighted voting rights and incorporated in the Cayman Islands with limited liability) Date Submitted: 05 October 2026 I. Movements in Authorised / Registered Share Capital 1. Class of shares WVR ordinary shares Type of shares A Listed on the Exchange (Note 1) Yes Stock code (if listed) 02391 Description Number of authorised/registered shares Par value Authorised/registered share capital Balance at close of preceding month 800,000,000 USD 0.00005 USD 40,000 Increase / decrease (-) USD Balance at close of the month 800,000,000 USD 0.00005 USD 40,000 2. Class of shares WVR ordinary shares Type of shares B Listed on the Exchange (Note 1) No Stock code (if listed) 02391 Description Number of authorised/registered shares Par value Authorised/registered share capital Balance at close of preceding month 200,000,000 USD 0.00005 USD 10,000 Increase / decrease (-) USD Balance at close of the month 200,000,000 USD 0.00005 USD 10,000 Total authorised/registered share capital at the end of the month: USD 50,000</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2 of 10 v 1.2.1 II. Movements in Issued Shares and/or Treasury Shares and Public Float Sufficiency Confirmation 1. Class of shares WVR ordinary shares Type of shares A Listed on the Exchange (Note 1) Yes Stock code (if listed) 02391 Description Number of issued shares (excluding treasury shares) Number of treasury shares Total number of issued shares Balance at close of preceding month 543,206,907 0 543,206,907 Increase / decrease (-) 32,524 0 Balance at close of the month 543,239,431 0 543,239,431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- 25% of the total number of issued shares in the class to which the listed shares belong (excluding treasury shares) Additional information 2. Class of shares WVR ordinary shares Type of shares B Listed on the Exchange (Note 1) No Stock code (if listed) 02391 Description Number of issued shares (excluding treasury shares) Number of treasury shares Total number of issued shares Balance at close of preceding month 70,162,633 0 70,162,633 Increase / decrease (-) 0 0 Balance at close of the month 70,162,633 0 70,162,633 Remarks: Opening and closing balances of Class A ordinary shares shown above include 153,461 and 153,461 Class A ordinary shares which are already issued and registered in the name of our depositary bank which are used to satisfy any future exercise or vesting of awards granted under the 2015 Equity Incentive Plan and 2024 Share Scheme, respectively. </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3 of 10 v 1.2.1 III. Details of Movements in Issued Shares and/or Treasury Shares (A). Share Options (under Share Option Schemes of the Issuer) 1. Class of shares WVR ordinary shares Type of shares A Listed on the Exchange (Note 1) Yes Stock code (if listed) 02391 Description Particulars of share option scheme Number of share options outstanding at close of preceding month Movement during the month Number of share options outstanding at close of the month Number of new shares issued during the month pursuant thereto (A1) Number of treasury shares transferred out of treasury during the month pursuant thereto (A2) Number of shares which may be issued or transferred out of treasury pursuant thereto as at close of the month The total number of shares which may be issued or transferred out of treasury upon exercise of all share options to be granted under the scheme at close of the month 1). 2015 Equity Incentive Plan (adopted in December 2014 and amended in June 2022, as amended from time to time) 2,443,081 Exercised - new shares involved -32,524 2,410,557 32,524 0 2,410,557 0 General Meeting approval date (if applicable) 2). 2024 Share Scheme (adopted in June 2024, as amended from time to time) 0 0 0 0 0 56,980,259 General Meeting approval date (if applicable) Increase in issued shares (excluding treasury shares): 32,524 WVR ordinary shares A (AA1) Decrease in treasury shares: 0 WVR ordinary shares A (AA2) Total funds raised during the month from exercise of options: USD 1.63 Remarks: 1) The total number of shares which may be issued or transferred out of treasury pursuant to exercise of all options to be granted, and vesting of all restricted share units or awards to be granted under the 2024 Share Scheme as at the close of the month is 56,980,259.</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10 v 1.2.1 (B). Warrants to Issue Shares of the Issuer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10 v 1.2.1 (C). Convertibles (i.e. Convertible into Shares of the Issuer)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6 of 10 v 1.2.1 (D). Any other Agreements or Arrangements to Issue Shares of the Issuer, including Options (other than Share Option Schemes) 1. Class of shares WVR ordinary shares Type of shares A Listed on the Exchange (Note 1) Yes Stock code (if listed) 02391 Description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2015 Equity Incentive Plan - Restricted Share Units (adopted in December 2014 and amended in June 2022, as amended from time to time) 0 0 1,058,250 2). 2015 Equity Incentive Plan - Restricted Shares (adopted in December 2014 and amended in June 2022, as amended from time to time) 0 0 0 3). 2024 Share Scheme - Restricted Share Units (adopted in June 2024, as amended from time to time) 20 June 2024 0 0 606,500 Increase in issued shares (excluding treasury shares): 0 WVR ordinary shares A (DD1) Decrease in treasury shares: 0 WVR ordinary shares A (DD2) Remarks: As of September 30, 2026, the restricted share units which entitle the holders to 1,058,250 Class A ordinary shares of the issuer upon vesting, have been granted under the 2015 Equity Incentive Plan. No restricted share units were granted under the 2015 Equity Incentive Plan during the month. No restricted share units under the 2015 Equity Incentive Plan were vested during the month, among which no restricted share units under the 2015 Equity Incentive Plan were settled using the Class A ordinary shares already issued and registered in the name of depositary bank, and no restricted share units under the 2015 Equity Incentive Plan were settled using the Class A ordinary shares purchased by trustee of 2015 Equity Incentive Plan. 7,500 restricted share units granted under the 2015 Equity Incentive Plan were lapsed during the month. As of September 30, 2026, the restricted share units which entitle the holders to 606,500 Class A ordinary shares of the issuer upon vesting, have been granted under the 2024 Share Scheme. No restricted share units were granted under the 2024 Share Scheme during the month. No restricted share units under the 2024 Share Scheme were vested during the month. No restricted share units granted under the 2024 Share Scheme were lapsed during the month.</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10 v 1.2.1 (E). Other Movements in Issued Shares and/or Treasury Shares Not applicable Total increase/ decrease (-) in issued shares (excluding treasury shares) during the month (i.e. Total of AA1 to EE1): 32,524 WVR ordinary shares A Total increase/ decrease (-) in treasury shares during the month (i.e. Total of AA2 to EE2): 0 WVR ordinary shares A</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10 v 1.2.1 IV. Information about Hong Kong Depositary Receipt (HDR) Not applicable</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10 v 1.2.1 V. Confirmations Pursuant to Main Board Rule 13.25C / GEM Rule 17.27C, we hereby confirm to the best knowledge, information and belief that, in relation to each of the securities issued, or the treasury shares sold or transferred by the issuer during the month as set out in Parts III and IV which has not been previously disclosed in a return published under Main Board Rule 13.25A / GEM Rule 17.27A, it has been duly authorised by the board of directors of the listed issuer and carried out in compliance with all applicable listing rules, laws and other regulatory requirements and, insofar as applicable: (Note 5) (i) all money due to the listed issuer in respect of the issue of securities, or sale or transfer of treasury shares has been received by it; (ii) all pre-conditions for listing imposed by the Rules Governing the Listing of Securities on The Stock Exchange of Hong Kong Limited under "Qualifications of listing" have been fulfilled; (iii) all (if any) conditions contained in the formal letter granting listing of and permission to deal in the securities have been fulfilled; (iv) all the securities of each class are in all respects identical (Note 6);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Submitted by: Yang Yi Title: Director (Director, Secretary or other Duly Authorised Officer)</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10 of 10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2309</Words>
  <Characters>11547</Characters>
  <CharactersWithSpaces>13862</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